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3"/>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gridCol w:w="3894"/>
      </w:tblGrid>
      <w:tr w:rsidR="00E76D6D" w:rsidRPr="0064103B" w14:paraId="12C564D0" w14:textId="7937180C" w:rsidTr="0D9D5AD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093" w:type="dxa"/>
            <w:shd w:val="clear" w:color="auto" w:fill="0067AC"/>
          </w:tcPr>
          <w:p w14:paraId="64F42DB5" w14:textId="2887F015" w:rsidR="00904AEA" w:rsidRPr="0064103B" w:rsidRDefault="00904AEA">
            <w:pPr>
              <w:rPr>
                <w:rStyle w:val="Strong"/>
                <w:rFonts w:cstheme="minorHAnsi"/>
                <w:b/>
                <w:bCs/>
                <w:sz w:val="18"/>
                <w:szCs w:val="18"/>
              </w:rPr>
            </w:pPr>
            <w:r w:rsidRPr="0064103B">
              <w:rPr>
                <w:rStyle w:val="Strong"/>
                <w:rFonts w:cstheme="minorHAnsi"/>
                <w:sz w:val="18"/>
                <w:szCs w:val="18"/>
              </w:rPr>
              <w:t xml:space="preserve"> #</w:t>
            </w:r>
          </w:p>
        </w:tc>
        <w:tc>
          <w:tcPr>
            <w:tcW w:w="3495" w:type="dxa"/>
            <w:shd w:val="clear" w:color="auto" w:fill="0067AC"/>
          </w:tcPr>
          <w:p w14:paraId="068A6EC5" w14:textId="77777777" w:rsidR="00904AEA" w:rsidRPr="0064103B" w:rsidRDefault="00904AEA">
            <w:pPr>
              <w:cnfStyle w:val="100000000000" w:firstRow="1" w:lastRow="0" w:firstColumn="0" w:lastColumn="0" w:oddVBand="0" w:evenVBand="0" w:oddHBand="0" w:evenHBand="0" w:firstRowFirstColumn="0" w:firstRowLastColumn="0" w:lastRowFirstColumn="0" w:lastRowLastColumn="0"/>
              <w:rPr>
                <w:rStyle w:val="Strong"/>
                <w:rFonts w:cstheme="minorHAnsi"/>
                <w:b/>
                <w:bCs/>
                <w:sz w:val="18"/>
                <w:szCs w:val="18"/>
              </w:rPr>
            </w:pPr>
            <w:r w:rsidRPr="0064103B">
              <w:rPr>
                <w:rStyle w:val="Strong"/>
                <w:rFonts w:cstheme="minorHAnsi"/>
                <w:sz w:val="18"/>
                <w:szCs w:val="18"/>
              </w:rPr>
              <w:t xml:space="preserve">Document and </w:t>
            </w:r>
            <w:proofErr w:type="gramStart"/>
            <w:r w:rsidRPr="0064103B">
              <w:rPr>
                <w:rStyle w:val="Strong"/>
                <w:rFonts w:cstheme="minorHAnsi"/>
                <w:sz w:val="18"/>
                <w:szCs w:val="18"/>
              </w:rPr>
              <w:t>Section</w:t>
            </w:r>
            <w:proofErr w:type="gramEnd"/>
          </w:p>
        </w:tc>
        <w:tc>
          <w:tcPr>
            <w:tcW w:w="1598" w:type="dxa"/>
            <w:shd w:val="clear" w:color="auto" w:fill="0067AC"/>
          </w:tcPr>
          <w:p w14:paraId="07C83245" w14:textId="77777777" w:rsidR="00904AEA" w:rsidRPr="0064103B" w:rsidRDefault="00904AEA">
            <w:pPr>
              <w:cnfStyle w:val="100000000000" w:firstRow="1" w:lastRow="0" w:firstColumn="0" w:lastColumn="0" w:oddVBand="0" w:evenVBand="0" w:oddHBand="0" w:evenHBand="0" w:firstRowFirstColumn="0" w:firstRowLastColumn="0" w:lastRowFirstColumn="0" w:lastRowLastColumn="0"/>
              <w:rPr>
                <w:rStyle w:val="Strong"/>
                <w:rFonts w:cstheme="minorHAnsi"/>
                <w:b/>
                <w:bCs/>
                <w:sz w:val="18"/>
                <w:szCs w:val="18"/>
              </w:rPr>
            </w:pPr>
            <w:r w:rsidRPr="0064103B">
              <w:rPr>
                <w:rStyle w:val="Strong"/>
                <w:rFonts w:cstheme="minorHAnsi"/>
                <w:sz w:val="18"/>
                <w:szCs w:val="18"/>
              </w:rPr>
              <w:t>Page #</w:t>
            </w:r>
          </w:p>
        </w:tc>
        <w:tc>
          <w:tcPr>
            <w:tcW w:w="3894" w:type="dxa"/>
            <w:shd w:val="clear" w:color="auto" w:fill="0070C0"/>
          </w:tcPr>
          <w:p w14:paraId="263D251C" w14:textId="77777777" w:rsidR="00904AEA" w:rsidRPr="00476A49" w:rsidRDefault="00904AEA" w:rsidP="00233072">
            <w:pPr>
              <w:cnfStyle w:val="100000000000" w:firstRow="1" w:lastRow="0" w:firstColumn="0" w:lastColumn="0" w:oddVBand="0" w:evenVBand="0" w:oddHBand="0" w:evenHBand="0" w:firstRowFirstColumn="0" w:firstRowLastColumn="0" w:lastRowFirstColumn="0" w:lastRowLastColumn="0"/>
              <w:rPr>
                <w:rStyle w:val="Strong"/>
                <w:rFonts w:cstheme="minorHAnsi"/>
                <w:sz w:val="18"/>
                <w:szCs w:val="18"/>
              </w:rPr>
            </w:pPr>
            <w:r w:rsidRPr="00476A49">
              <w:rPr>
                <w:rStyle w:val="Strong"/>
                <w:rFonts w:cstheme="minorHAnsi"/>
                <w:sz w:val="18"/>
                <w:szCs w:val="18"/>
              </w:rPr>
              <w:t>Bidder Question</w:t>
            </w:r>
          </w:p>
        </w:tc>
        <w:tc>
          <w:tcPr>
            <w:tcW w:w="3894" w:type="dxa"/>
            <w:shd w:val="clear" w:color="auto" w:fill="0070C0"/>
          </w:tcPr>
          <w:p w14:paraId="51A28EE7" w14:textId="65418801" w:rsidR="00904AEA" w:rsidRPr="00476A49" w:rsidRDefault="00904AEA" w:rsidP="00233072">
            <w:pPr>
              <w:cnfStyle w:val="100000000000" w:firstRow="1" w:lastRow="0" w:firstColumn="0" w:lastColumn="0" w:oddVBand="0" w:evenVBand="0" w:oddHBand="0" w:evenHBand="0" w:firstRowFirstColumn="0" w:firstRowLastColumn="0" w:lastRowFirstColumn="0" w:lastRowLastColumn="0"/>
              <w:rPr>
                <w:rStyle w:val="Strong"/>
                <w:rFonts w:cstheme="minorHAnsi"/>
                <w:sz w:val="18"/>
                <w:szCs w:val="18"/>
              </w:rPr>
            </w:pPr>
            <w:r>
              <w:rPr>
                <w:rStyle w:val="Strong"/>
                <w:rFonts w:cstheme="minorHAnsi"/>
                <w:sz w:val="18"/>
                <w:szCs w:val="18"/>
              </w:rPr>
              <w:t>State Response</w:t>
            </w:r>
          </w:p>
        </w:tc>
      </w:tr>
      <w:tr w:rsidR="00A32396" w:rsidRPr="0064103B" w14:paraId="28027A01" w14:textId="48271DC3" w:rsidTr="0D9D5A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3" w:type="dxa"/>
          </w:tcPr>
          <w:p w14:paraId="39B93789" w14:textId="0EF88E97" w:rsidR="00904AEA" w:rsidRPr="0064103B" w:rsidRDefault="00904AEA">
            <w:pPr>
              <w:rPr>
                <w:b w:val="0"/>
                <w:color w:val="000000" w:themeColor="text1"/>
                <w:sz w:val="18"/>
                <w:szCs w:val="18"/>
              </w:rPr>
            </w:pPr>
            <w:r w:rsidRPr="0064103B">
              <w:rPr>
                <w:b w:val="0"/>
                <w:color w:val="000000" w:themeColor="text1"/>
                <w:sz w:val="18"/>
                <w:szCs w:val="18"/>
              </w:rPr>
              <w:t>1</w:t>
            </w:r>
          </w:p>
        </w:tc>
        <w:tc>
          <w:tcPr>
            <w:tcW w:w="3495" w:type="dxa"/>
          </w:tcPr>
          <w:p w14:paraId="1194508C" w14:textId="5568F4DA"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sidRPr="0064103B">
              <w:rPr>
                <w:b/>
                <w:color w:val="000000" w:themeColor="text1"/>
                <w:sz w:val="18"/>
                <w:szCs w:val="18"/>
              </w:rPr>
              <w:t>Schedule A-SOW (Scope)</w:t>
            </w:r>
            <w:r>
              <w:rPr>
                <w:b/>
                <w:color w:val="000000" w:themeColor="text1"/>
                <w:sz w:val="18"/>
                <w:szCs w:val="18"/>
              </w:rPr>
              <w:t xml:space="preserve"> 2</w:t>
            </w:r>
            <w:r w:rsidRPr="0064103B">
              <w:rPr>
                <w:b/>
                <w:color w:val="000000" w:themeColor="text1"/>
                <w:sz w:val="18"/>
                <w:szCs w:val="18"/>
                <w:vertAlign w:val="superscript"/>
              </w:rPr>
              <w:t>nd</w:t>
            </w:r>
            <w:r>
              <w:rPr>
                <w:b/>
                <w:color w:val="000000" w:themeColor="text1"/>
                <w:sz w:val="18"/>
                <w:szCs w:val="18"/>
              </w:rPr>
              <w:t xml:space="preserve"> paragraph</w:t>
            </w:r>
          </w:p>
        </w:tc>
        <w:tc>
          <w:tcPr>
            <w:tcW w:w="1598" w:type="dxa"/>
          </w:tcPr>
          <w:p w14:paraId="01E2D32B" w14:textId="21D666DF"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 xml:space="preserve">Page </w:t>
            </w:r>
            <w:r w:rsidRPr="0064103B">
              <w:rPr>
                <w:b/>
                <w:color w:val="000000" w:themeColor="text1"/>
                <w:sz w:val="18"/>
                <w:szCs w:val="18"/>
              </w:rPr>
              <w:t>2 of 18</w:t>
            </w:r>
          </w:p>
        </w:tc>
        <w:tc>
          <w:tcPr>
            <w:tcW w:w="3894" w:type="dxa"/>
          </w:tcPr>
          <w:p w14:paraId="00FEFC39" w14:textId="77777777" w:rsidR="00904AEA" w:rsidRPr="00476A49" w:rsidRDefault="00904AEA" w:rsidP="002330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The RFP states: “The program must seek to train Michigan licensed commercial vehicle drivers at no cost and reach a minimum 5,000 people annually through outreach efforts at events such as the annual Michigan Safety Conference and Michigan Traffic Safety Summit. The project must also seek to train Michigan commercial vehicle drivers in skid recovery and safety in critical </w:t>
            </w:r>
            <w:proofErr w:type="gramStart"/>
            <w:r w:rsidRPr="00476A49">
              <w:rPr>
                <w:rFonts w:eastAsia="Times New Roman" w:cs="Times New Roman"/>
                <w:sz w:val="18"/>
                <w:szCs w:val="18"/>
                <w14:ligatures w14:val="none"/>
              </w:rPr>
              <w:t>situations.”</w:t>
            </w:r>
            <w:proofErr w:type="gramEnd"/>
          </w:p>
          <w:p w14:paraId="511EB44E" w14:textId="77777777" w:rsidR="00904AEA" w:rsidRPr="00476A49" w:rsidRDefault="00904AEA" w:rsidP="002330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For clarification:</w:t>
            </w:r>
          </w:p>
          <w:p w14:paraId="38CC78DE" w14:textId="77777777" w:rsidR="00904AEA" w:rsidRPr="00476A49" w:rsidRDefault="00904AEA" w:rsidP="00233072">
            <w:pPr>
              <w:numPr>
                <w:ilvl w:val="0"/>
                <w:numId w:val="2"/>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476A49">
              <w:rPr>
                <w:sz w:val="18"/>
                <w:szCs w:val="18"/>
              </w:rPr>
              <w:t>Does the 5,000-person annual requirement apply exclusively to outreach activities, or does it also include direct CMV training (e.g., skid pad instruction)</w:t>
            </w:r>
          </w:p>
          <w:p w14:paraId="75CBD6F5" w14:textId="44AA4F0B" w:rsidR="00904AEA" w:rsidRPr="00476A49" w:rsidRDefault="00904AEA" w:rsidP="00233072">
            <w:pPr>
              <w:numPr>
                <w:ilvl w:val="0"/>
                <w:numId w:val="2"/>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476A49">
              <w:rPr>
                <w:rFonts w:eastAsia="Times New Roman" w:cs="Times New Roman"/>
                <w:sz w:val="18"/>
                <w:szCs w:val="18"/>
                <w14:ligatures w14:val="none"/>
              </w:rPr>
              <w:t>Historically, MCTS and MCDD operated under separate performance metrics. Is the RFP now combining these metrics, or do they remain separate?</w:t>
            </w:r>
            <w:r>
              <w:rPr>
                <w:rFonts w:eastAsia="Times New Roman" w:cs="Times New Roman"/>
                <w:sz w:val="18"/>
                <w:szCs w:val="18"/>
                <w14:ligatures w14:val="none"/>
              </w:rPr>
              <w:t xml:space="preserve">  </w:t>
            </w:r>
          </w:p>
        </w:tc>
        <w:tc>
          <w:tcPr>
            <w:tcW w:w="3894" w:type="dxa"/>
          </w:tcPr>
          <w:p w14:paraId="64E6336B" w14:textId="6372664A" w:rsidR="00904AEA" w:rsidRPr="00D50E3E" w:rsidRDefault="2C0148EE" w:rsidP="07D57B57">
            <w:pPr>
              <w:pStyle w:val="ListParagraph"/>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D50E3E">
              <w:rPr>
                <w:sz w:val="18"/>
                <w:szCs w:val="18"/>
              </w:rPr>
              <w:t xml:space="preserve">The 5,000-person annual requirement applies exclusively to outreach activities.  </w:t>
            </w:r>
            <w:r w:rsidRPr="00D50E3E">
              <w:rPr>
                <w:rFonts w:eastAsia="Times New Roman" w:cs="Times New Roman"/>
                <w:sz w:val="18"/>
                <w:szCs w:val="18"/>
              </w:rPr>
              <w:t>The project must seek to train Michigan commercial vehicle drivers in skid recovery and safety in critical situations.</w:t>
            </w:r>
          </w:p>
          <w:p w14:paraId="7843DE2B" w14:textId="33FD6A03" w:rsidR="00F747AF" w:rsidRPr="00D50E3E" w:rsidRDefault="00F747AF" w:rsidP="00D50E3E">
            <w:pPr>
              <w:pStyle w:val="ListParagraph"/>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50E3E">
              <w:rPr>
                <w:rFonts w:eastAsia="Times New Roman" w:cs="Times New Roman"/>
                <w:sz w:val="18"/>
                <w:szCs w:val="18"/>
              </w:rPr>
              <w:t xml:space="preserve">These are separate metrics. </w:t>
            </w:r>
          </w:p>
          <w:p w14:paraId="1FAD92C4" w14:textId="6E581E3C" w:rsidR="00904AEA" w:rsidRPr="00476A49" w:rsidRDefault="00904AEA" w:rsidP="0023307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szCs w:val="18"/>
                <w14:ligatures w14:val="none"/>
              </w:rPr>
            </w:pPr>
          </w:p>
        </w:tc>
      </w:tr>
      <w:tr w:rsidR="00A32396" w:rsidRPr="0064103B" w14:paraId="05A27AC1" w14:textId="250549DC" w:rsidTr="0D9D5ADA">
        <w:trPr>
          <w:trHeight w:val="290"/>
        </w:trPr>
        <w:tc>
          <w:tcPr>
            <w:cnfStyle w:val="001000000000" w:firstRow="0" w:lastRow="0" w:firstColumn="1" w:lastColumn="0" w:oddVBand="0" w:evenVBand="0" w:oddHBand="0" w:evenHBand="0" w:firstRowFirstColumn="0" w:firstRowLastColumn="0" w:lastRowFirstColumn="0" w:lastRowLastColumn="0"/>
            <w:tcW w:w="1093" w:type="dxa"/>
          </w:tcPr>
          <w:p w14:paraId="1FAD979A" w14:textId="5F084E7B" w:rsidR="00904AEA" w:rsidRPr="0064103B" w:rsidRDefault="00904AEA">
            <w:pPr>
              <w:rPr>
                <w:b w:val="0"/>
                <w:color w:val="000000" w:themeColor="text1"/>
                <w:sz w:val="18"/>
                <w:szCs w:val="18"/>
              </w:rPr>
            </w:pPr>
            <w:r>
              <w:rPr>
                <w:b w:val="0"/>
                <w:color w:val="000000" w:themeColor="text1"/>
                <w:sz w:val="18"/>
                <w:szCs w:val="18"/>
              </w:rPr>
              <w:t>2</w:t>
            </w:r>
          </w:p>
        </w:tc>
        <w:tc>
          <w:tcPr>
            <w:tcW w:w="3495" w:type="dxa"/>
          </w:tcPr>
          <w:p w14:paraId="790EB9E7" w14:textId="77777777" w:rsidR="00904AEA"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sidRPr="0064103B">
              <w:rPr>
                <w:b/>
                <w:color w:val="000000" w:themeColor="text1"/>
                <w:sz w:val="18"/>
                <w:szCs w:val="18"/>
              </w:rPr>
              <w:t>Schedule A-SOW (Scope)</w:t>
            </w:r>
            <w:r>
              <w:rPr>
                <w:b/>
                <w:color w:val="000000" w:themeColor="text1"/>
                <w:sz w:val="18"/>
                <w:szCs w:val="18"/>
              </w:rPr>
              <w:t xml:space="preserve"> </w:t>
            </w:r>
          </w:p>
          <w:p w14:paraId="619DA38B" w14:textId="441F44CD"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1.Requirements section 1.1.1.2.2.</w:t>
            </w:r>
          </w:p>
        </w:tc>
        <w:tc>
          <w:tcPr>
            <w:tcW w:w="1598" w:type="dxa"/>
          </w:tcPr>
          <w:p w14:paraId="7797F8F7" w14:textId="6883A748"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Page 3 of 18</w:t>
            </w:r>
          </w:p>
        </w:tc>
        <w:tc>
          <w:tcPr>
            <w:tcW w:w="3894" w:type="dxa"/>
          </w:tcPr>
          <w:p w14:paraId="54649024" w14:textId="4CF5E59E" w:rsidR="00904AEA" w:rsidRPr="00476A49" w:rsidRDefault="00904AEA" w:rsidP="00233072">
            <w:pPr>
              <w:cnfStyle w:val="000000000000" w:firstRow="0" w:lastRow="0" w:firstColumn="0" w:lastColumn="0" w:oddVBand="0" w:evenVBand="0" w:oddHBand="0" w:evenHBand="0" w:firstRowFirstColumn="0" w:firstRowLastColumn="0" w:lastRowFirstColumn="0" w:lastRowLastColumn="0"/>
              <w:rPr>
                <w:sz w:val="18"/>
                <w:szCs w:val="18"/>
              </w:rPr>
            </w:pPr>
            <w:r w:rsidRPr="00476A49">
              <w:rPr>
                <w:sz w:val="18"/>
                <w:szCs w:val="18"/>
              </w:rPr>
              <w:t>Provide public information and safety outreach estimated budget to advertise program services offered to the CMV driving public, trucking groups and private carriers.</w:t>
            </w:r>
          </w:p>
          <w:p w14:paraId="05176520" w14:textId="77777777" w:rsidR="00904AEA" w:rsidRPr="00476A49" w:rsidRDefault="00904AEA" w:rsidP="002330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The RFP requests an estimated budget for public information and safety outreach to advertise program services. Since this is a contract and not a grant, could you clarify:</w:t>
            </w:r>
          </w:p>
          <w:p w14:paraId="32E15E3E" w14:textId="77777777" w:rsidR="00904AEA" w:rsidRPr="00476A49" w:rsidRDefault="00904AEA" w:rsidP="00233072">
            <w:pPr>
              <w:numPr>
                <w:ilvl w:val="0"/>
                <w:numId w:val="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Is it necessary to provide a separate advertising budget, </w:t>
            </w:r>
          </w:p>
          <w:p w14:paraId="7DC28B09" w14:textId="77777777" w:rsidR="00904AEA" w:rsidRPr="00476A49" w:rsidRDefault="00904AEA" w:rsidP="00233072">
            <w:pPr>
              <w:numPr>
                <w:ilvl w:val="0"/>
                <w:numId w:val="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Historically, at the request of OHSP, the MTA Education Center operates under </w:t>
            </w:r>
            <w:proofErr w:type="gramStart"/>
            <w:r w:rsidRPr="00476A49">
              <w:rPr>
                <w:rFonts w:eastAsia="Times New Roman" w:cs="Times New Roman"/>
                <w:sz w:val="18"/>
                <w:szCs w:val="18"/>
                <w14:ligatures w14:val="none"/>
              </w:rPr>
              <w:t>a</w:t>
            </w:r>
            <w:proofErr w:type="gramEnd"/>
            <w:r w:rsidRPr="00476A49">
              <w:rPr>
                <w:rFonts w:eastAsia="Times New Roman" w:cs="Times New Roman"/>
                <w:sz w:val="18"/>
                <w:szCs w:val="18"/>
                <w14:ligatures w14:val="none"/>
              </w:rPr>
              <w:t xml:space="preserve"> all-inclusive Contractual line </w:t>
            </w:r>
            <w:r w:rsidRPr="00476A49">
              <w:rPr>
                <w:rFonts w:eastAsia="Times New Roman" w:cs="Times New Roman"/>
                <w:sz w:val="18"/>
                <w:szCs w:val="18"/>
                <w14:ligatures w14:val="none"/>
              </w:rPr>
              <w:lastRenderedPageBreak/>
              <w:t xml:space="preserve">budget. MTA invoices OHSP on a combination of per person rate, actual printing costs and specified fixed monthly costs. </w:t>
            </w:r>
          </w:p>
          <w:p w14:paraId="6D8F40E2" w14:textId="4AB5412E" w:rsidR="00904AEA" w:rsidRPr="00476A49" w:rsidRDefault="00904AEA" w:rsidP="00233072">
            <w:pPr>
              <w:numPr>
                <w:ilvl w:val="0"/>
                <w:numId w:val="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Costs associated with advertising would not be a separate line item since it is calculated into the all-inclusive contractual line budget.</w:t>
            </w:r>
          </w:p>
          <w:p w14:paraId="2BB90A26" w14:textId="77777777" w:rsidR="00904AEA" w:rsidRPr="00476A49" w:rsidRDefault="00904AEA" w:rsidP="0023307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This clarification will help ensure proposals align with the intended contract structure.</w:t>
            </w:r>
          </w:p>
          <w:p w14:paraId="1C370408" w14:textId="77777777" w:rsidR="00904AEA" w:rsidRPr="00476A49" w:rsidRDefault="00904AEA" w:rsidP="0023307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3894" w:type="dxa"/>
          </w:tcPr>
          <w:p w14:paraId="6B92CFDE" w14:textId="1A556236" w:rsidR="00904AEA" w:rsidRPr="00476A49" w:rsidRDefault="230AF3B5" w:rsidP="07D57B57">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7D57B57">
              <w:rPr>
                <w:rFonts w:eastAsia="Times New Roman" w:cs="Times New Roman"/>
                <w:sz w:val="18"/>
                <w:szCs w:val="18"/>
              </w:rPr>
              <w:lastRenderedPageBreak/>
              <w:t>No</w:t>
            </w:r>
            <w:r w:rsidR="4069BDC9" w:rsidRPr="07D57B57">
              <w:rPr>
                <w:rFonts w:eastAsia="Times New Roman" w:cs="Times New Roman"/>
                <w:sz w:val="18"/>
                <w:szCs w:val="18"/>
              </w:rPr>
              <w:t>. Expectation is the successful bidder will operate under an all-</w:t>
            </w:r>
            <w:r w:rsidR="15576571" w:rsidRPr="07D57B57">
              <w:rPr>
                <w:rFonts w:eastAsia="Times New Roman" w:cs="Times New Roman"/>
                <w:sz w:val="18"/>
                <w:szCs w:val="18"/>
              </w:rPr>
              <w:t>inclusive</w:t>
            </w:r>
            <w:r w:rsidR="4069BDC9" w:rsidRPr="07D57B57">
              <w:rPr>
                <w:rFonts w:eastAsia="Times New Roman" w:cs="Times New Roman"/>
                <w:sz w:val="18"/>
                <w:szCs w:val="18"/>
              </w:rPr>
              <w:t xml:space="preserve"> contractual line budget, advertising calculated into the contractual budget line.</w:t>
            </w:r>
          </w:p>
          <w:p w14:paraId="6962215B" w14:textId="52EE7D3E" w:rsidR="00904AEA" w:rsidRPr="00476A49" w:rsidRDefault="00904AEA" w:rsidP="07D57B57">
            <w:pPr>
              <w:spacing w:beforeAutospacing="1" w:afterAutospacing="1"/>
              <w:ind w:left="720"/>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p w14:paraId="53A7F844" w14:textId="76045AF9" w:rsidR="00904AEA" w:rsidRPr="00476A49" w:rsidRDefault="00904AEA" w:rsidP="07D57B57">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p w14:paraId="56EF42D4" w14:textId="406D6CA0" w:rsidR="00904AEA" w:rsidRPr="00476A49" w:rsidRDefault="00904AEA" w:rsidP="00233072">
            <w:pPr>
              <w:cnfStyle w:val="000000000000" w:firstRow="0" w:lastRow="0" w:firstColumn="0" w:lastColumn="0" w:oddVBand="0" w:evenVBand="0" w:oddHBand="0" w:evenHBand="0" w:firstRowFirstColumn="0" w:firstRowLastColumn="0" w:lastRowFirstColumn="0" w:lastRowLastColumn="0"/>
              <w:rPr>
                <w:sz w:val="18"/>
                <w:szCs w:val="18"/>
              </w:rPr>
            </w:pPr>
          </w:p>
        </w:tc>
      </w:tr>
      <w:tr w:rsidR="00A32396" w:rsidRPr="0064103B" w14:paraId="1567F6D6" w14:textId="33704834" w:rsidTr="0D9D5A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3" w:type="dxa"/>
          </w:tcPr>
          <w:p w14:paraId="5B48D51A" w14:textId="417E812F" w:rsidR="00904AEA" w:rsidRPr="0064103B" w:rsidRDefault="00904AEA">
            <w:pPr>
              <w:rPr>
                <w:b w:val="0"/>
                <w:color w:val="000000" w:themeColor="text1"/>
                <w:sz w:val="18"/>
                <w:szCs w:val="18"/>
              </w:rPr>
            </w:pPr>
            <w:r>
              <w:rPr>
                <w:b w:val="0"/>
                <w:color w:val="000000" w:themeColor="text1"/>
                <w:sz w:val="18"/>
                <w:szCs w:val="18"/>
              </w:rPr>
              <w:t>3</w:t>
            </w:r>
          </w:p>
        </w:tc>
        <w:tc>
          <w:tcPr>
            <w:tcW w:w="3495" w:type="dxa"/>
          </w:tcPr>
          <w:p w14:paraId="14241B0B" w14:textId="7814C7D5"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Section 2. Staffing 2.1-2.1.3</w:t>
            </w:r>
          </w:p>
        </w:tc>
        <w:tc>
          <w:tcPr>
            <w:tcW w:w="1598" w:type="dxa"/>
          </w:tcPr>
          <w:p w14:paraId="482E2B3E" w14:textId="2C372A38"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 xml:space="preserve">Page </w:t>
            </w:r>
          </w:p>
        </w:tc>
        <w:tc>
          <w:tcPr>
            <w:tcW w:w="3894" w:type="dxa"/>
          </w:tcPr>
          <w:p w14:paraId="56AFD987" w14:textId="77777777" w:rsidR="00904AEA" w:rsidRPr="00476A49" w:rsidRDefault="00904AEA" w:rsidP="009F5B4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szCs w:val="18"/>
              </w:rPr>
            </w:pPr>
            <w:r w:rsidRPr="00476A49">
              <w:rPr>
                <w:sz w:val="18"/>
                <w:szCs w:val="18"/>
              </w:rPr>
              <w:t>Is the Contractor Program Manager/Senior Consultant role equivalent to the Project Director role used in current or prior contracts?</w:t>
            </w:r>
          </w:p>
          <w:p w14:paraId="130F304F" w14:textId="2C5BBEB4" w:rsidR="00904AEA" w:rsidRPr="00476A49" w:rsidRDefault="00904AEA" w:rsidP="009F5B4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Currently, a Project Director is in place and responsible for the duties and tasks described in this section. Understanding whether these roles are considered the same will help ensure alignment with the RFP requirements.</w:t>
            </w:r>
          </w:p>
          <w:p w14:paraId="2E3DD6D8" w14:textId="59202083"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3894" w:type="dxa"/>
          </w:tcPr>
          <w:p w14:paraId="758ECADA" w14:textId="3908E138" w:rsidR="00904AEA" w:rsidRPr="00476A49" w:rsidRDefault="7333C3F2" w:rsidP="0D9D5AD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szCs w:val="18"/>
              </w:rPr>
            </w:pPr>
            <w:r w:rsidRPr="0D9D5ADA">
              <w:rPr>
                <w:sz w:val="18"/>
                <w:szCs w:val="18"/>
              </w:rPr>
              <w:t xml:space="preserve">Yes, Contractor Program Manager </w:t>
            </w:r>
            <w:r w:rsidR="094E9CA5" w:rsidRPr="0D9D5ADA">
              <w:rPr>
                <w:sz w:val="18"/>
                <w:szCs w:val="18"/>
              </w:rPr>
              <w:t>and MGX Project Director roles/titles are considered the same.</w:t>
            </w:r>
          </w:p>
        </w:tc>
      </w:tr>
      <w:tr w:rsidR="00A32396" w:rsidRPr="0064103B" w14:paraId="4CD1FA4F" w14:textId="4E4F0673" w:rsidTr="0D9D5ADA">
        <w:trPr>
          <w:trHeight w:val="290"/>
        </w:trPr>
        <w:tc>
          <w:tcPr>
            <w:cnfStyle w:val="001000000000" w:firstRow="0" w:lastRow="0" w:firstColumn="1" w:lastColumn="0" w:oddVBand="0" w:evenVBand="0" w:oddHBand="0" w:evenHBand="0" w:firstRowFirstColumn="0" w:firstRowLastColumn="0" w:lastRowFirstColumn="0" w:lastRowLastColumn="0"/>
            <w:tcW w:w="1093" w:type="dxa"/>
          </w:tcPr>
          <w:p w14:paraId="0D2D318B" w14:textId="2D2EB4F4" w:rsidR="00904AEA" w:rsidRPr="0064103B" w:rsidRDefault="00904AEA">
            <w:pPr>
              <w:rPr>
                <w:b w:val="0"/>
                <w:color w:val="000000" w:themeColor="text1"/>
                <w:sz w:val="18"/>
                <w:szCs w:val="18"/>
              </w:rPr>
            </w:pPr>
            <w:r>
              <w:rPr>
                <w:b w:val="0"/>
                <w:color w:val="000000" w:themeColor="text1"/>
                <w:sz w:val="18"/>
                <w:szCs w:val="18"/>
              </w:rPr>
              <w:t>4</w:t>
            </w:r>
          </w:p>
        </w:tc>
        <w:tc>
          <w:tcPr>
            <w:tcW w:w="3495" w:type="dxa"/>
          </w:tcPr>
          <w:p w14:paraId="64B7EE23" w14:textId="77777777" w:rsidR="00904AEA"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Section 2. Staffing</w:t>
            </w:r>
          </w:p>
          <w:p w14:paraId="19D26BD4" w14:textId="4DAC43F5"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2.6 Key Personnel 2.6.2. – 2.6.4.</w:t>
            </w:r>
          </w:p>
        </w:tc>
        <w:tc>
          <w:tcPr>
            <w:tcW w:w="1598" w:type="dxa"/>
          </w:tcPr>
          <w:p w14:paraId="387F5EAF" w14:textId="3B9E3DCD"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Pages 9-11 of 18</w:t>
            </w:r>
          </w:p>
        </w:tc>
        <w:tc>
          <w:tcPr>
            <w:tcW w:w="3894" w:type="dxa"/>
          </w:tcPr>
          <w:p w14:paraId="37478B94" w14:textId="77777777" w:rsidR="00904AEA" w:rsidRPr="00476A49" w:rsidRDefault="00904AEA" w:rsidP="0097066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Sections 2.6.2–2.6.4 outline State approval and restrictions regarding Key Personnel, including requirements related to assignment, reassignment, and significant financial penalties (Unauthorized Removal Credits of up to $50,000 per individual).</w:t>
            </w:r>
          </w:p>
          <w:p w14:paraId="4EC287F4" w14:textId="77777777" w:rsidR="00904AEA" w:rsidRPr="00476A49" w:rsidRDefault="00904AEA" w:rsidP="0097066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As a bidder, the Contractor serves as the employer of record and is responsible for all human resource functions, including recruiting, hiring, performance management, and termination. The State/OHSP is not the employer of contractor personnel.</w:t>
            </w:r>
          </w:p>
          <w:p w14:paraId="17E677A8" w14:textId="77777777" w:rsidR="00904AEA" w:rsidRPr="00476A49" w:rsidRDefault="00904AEA" w:rsidP="0097066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Given this, could the State clarify:</w:t>
            </w:r>
          </w:p>
          <w:p w14:paraId="7F891D9A" w14:textId="77777777" w:rsidR="00904AEA" w:rsidRPr="00476A49" w:rsidRDefault="00904AEA" w:rsidP="0097066E">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lastRenderedPageBreak/>
              <w:t xml:space="preserve">How these requirements are intended to be applied, particularly in situations involving personnel decisions that are within the Contractor’s control as the employer? </w:t>
            </w:r>
          </w:p>
          <w:p w14:paraId="4A419847" w14:textId="77777777" w:rsidR="00904AEA" w:rsidRPr="00476A49" w:rsidRDefault="00904AEA" w:rsidP="0097066E">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To what extent </w:t>
            </w:r>
            <w:proofErr w:type="gramStart"/>
            <w:r w:rsidRPr="00476A49">
              <w:rPr>
                <w:rFonts w:eastAsia="Times New Roman" w:cs="Times New Roman"/>
                <w:sz w:val="18"/>
                <w:szCs w:val="18"/>
                <w14:ligatures w14:val="none"/>
              </w:rPr>
              <w:t>the</w:t>
            </w:r>
            <w:proofErr w:type="gramEnd"/>
            <w:r w:rsidRPr="00476A49">
              <w:rPr>
                <w:rFonts w:eastAsia="Times New Roman" w:cs="Times New Roman"/>
                <w:sz w:val="18"/>
                <w:szCs w:val="18"/>
                <w14:ligatures w14:val="none"/>
              </w:rPr>
              <w:t xml:space="preserve"> State </w:t>
            </w:r>
            <w:proofErr w:type="gramStart"/>
            <w:r w:rsidRPr="00476A49">
              <w:rPr>
                <w:rFonts w:eastAsia="Times New Roman" w:cs="Times New Roman"/>
                <w:sz w:val="18"/>
                <w:szCs w:val="18"/>
                <w14:ligatures w14:val="none"/>
              </w:rPr>
              <w:t>expects</w:t>
            </w:r>
            <w:proofErr w:type="gramEnd"/>
            <w:r w:rsidRPr="00476A49">
              <w:rPr>
                <w:rFonts w:eastAsia="Times New Roman" w:cs="Times New Roman"/>
                <w:sz w:val="18"/>
                <w:szCs w:val="18"/>
                <w14:ligatures w14:val="none"/>
              </w:rPr>
              <w:t xml:space="preserve"> to exercise approval authority over Contractor employees? </w:t>
            </w:r>
          </w:p>
          <w:p w14:paraId="517BB508" w14:textId="77777777" w:rsidR="00904AEA" w:rsidRPr="00476A49" w:rsidRDefault="00904AEA" w:rsidP="0097066E">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How </w:t>
            </w:r>
            <w:proofErr w:type="gramStart"/>
            <w:r w:rsidRPr="00476A49">
              <w:rPr>
                <w:rFonts w:eastAsia="Times New Roman" w:cs="Times New Roman"/>
                <w:sz w:val="18"/>
                <w:szCs w:val="18"/>
                <w14:ligatures w14:val="none"/>
              </w:rPr>
              <w:t>the Unauthorized Removal Credits and associated financial penalties would</w:t>
            </w:r>
            <w:proofErr w:type="gramEnd"/>
            <w:r w:rsidRPr="00476A49">
              <w:rPr>
                <w:rFonts w:eastAsia="Times New Roman" w:cs="Times New Roman"/>
                <w:sz w:val="18"/>
                <w:szCs w:val="18"/>
                <w14:ligatures w14:val="none"/>
              </w:rPr>
              <w:t xml:space="preserve"> be applied in cases where personnel changes occur due to circumstances outside the Contractor’s control (e.g., resignation, termination for cause, or other employment-related matters)? </w:t>
            </w:r>
          </w:p>
          <w:p w14:paraId="11DCDA90" w14:textId="77777777" w:rsidR="00904AEA" w:rsidRPr="00476A49" w:rsidRDefault="00904AEA" w:rsidP="0097066E">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Whether these provisions are intended as mandatory contractual requirements or as guidance for coordination and communication? </w:t>
            </w:r>
          </w:p>
          <w:p w14:paraId="60B973F1" w14:textId="77777777" w:rsidR="00904AEA" w:rsidRPr="00476A49" w:rsidRDefault="00904AEA" w:rsidP="0097066E">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Whether the State assumes any associated risk or provides indemnification related to these requirements? </w:t>
            </w:r>
          </w:p>
          <w:p w14:paraId="45A1D624" w14:textId="77777777" w:rsidR="00904AEA" w:rsidRPr="00476A49" w:rsidRDefault="00904AEA" w:rsidP="0097066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This clarification will help ensure alignment with contractual responsibilities, employment law obligations, and the financial risk outlined in the RFP.</w:t>
            </w:r>
          </w:p>
          <w:p w14:paraId="09604209" w14:textId="77777777" w:rsidR="00904AEA" w:rsidRPr="00476A49" w:rsidRDefault="00904AEA" w:rsidP="0023307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3894" w:type="dxa"/>
          </w:tcPr>
          <w:p w14:paraId="5F5F93D3" w14:textId="6644C970" w:rsidR="00904AEA" w:rsidRDefault="0009249D" w:rsidP="00545D67">
            <w:pPr>
              <w:pStyle w:val="ListParagraph"/>
              <w:numPr>
                <w:ilvl w:val="0"/>
                <w:numId w:val="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Pr>
                <w:rFonts w:eastAsia="Times New Roman" w:cs="Times New Roman"/>
                <w:sz w:val="18"/>
                <w:szCs w:val="18"/>
                <w14:ligatures w14:val="none"/>
              </w:rPr>
              <w:lastRenderedPageBreak/>
              <w:t>Unauthorized</w:t>
            </w:r>
            <w:r w:rsidR="00536F9C">
              <w:rPr>
                <w:rFonts w:eastAsia="Times New Roman" w:cs="Times New Roman"/>
                <w:sz w:val="18"/>
                <w:szCs w:val="18"/>
                <w14:ligatures w14:val="none"/>
              </w:rPr>
              <w:t xml:space="preserve"> Removal </w:t>
            </w:r>
            <w:r>
              <w:rPr>
                <w:rFonts w:eastAsia="Times New Roman" w:cs="Times New Roman"/>
                <w:sz w:val="18"/>
                <w:szCs w:val="18"/>
                <w14:ligatures w14:val="none"/>
              </w:rPr>
              <w:t>C</w:t>
            </w:r>
            <w:r w:rsidR="00536F9C">
              <w:rPr>
                <w:rFonts w:eastAsia="Times New Roman" w:cs="Times New Roman"/>
                <w:sz w:val="18"/>
                <w:szCs w:val="18"/>
                <w14:ligatures w14:val="none"/>
              </w:rPr>
              <w:t xml:space="preserve">redits </w:t>
            </w:r>
            <w:r>
              <w:rPr>
                <w:rFonts w:eastAsia="Times New Roman" w:cs="Times New Roman"/>
                <w:sz w:val="18"/>
                <w:szCs w:val="18"/>
                <w14:ligatures w14:val="none"/>
              </w:rPr>
              <w:t xml:space="preserve">will be assessed </w:t>
            </w:r>
            <w:r w:rsidR="008B2D3D">
              <w:rPr>
                <w:rFonts w:eastAsia="Times New Roman" w:cs="Times New Roman"/>
                <w:sz w:val="18"/>
                <w:szCs w:val="18"/>
                <w14:ligatures w14:val="none"/>
              </w:rPr>
              <w:t>if Key Personnel are removed from their assignment</w:t>
            </w:r>
            <w:r w:rsidR="005B3BD5">
              <w:rPr>
                <w:rFonts w:eastAsia="Times New Roman" w:cs="Times New Roman"/>
                <w:sz w:val="18"/>
                <w:szCs w:val="18"/>
                <w14:ligatures w14:val="none"/>
              </w:rPr>
              <w:t xml:space="preserve"> without the State </w:t>
            </w:r>
            <w:r w:rsidR="00AD558C">
              <w:rPr>
                <w:rFonts w:eastAsia="Times New Roman" w:cs="Times New Roman"/>
                <w:sz w:val="18"/>
                <w:szCs w:val="18"/>
                <w14:ligatures w14:val="none"/>
              </w:rPr>
              <w:t>receiving prior</w:t>
            </w:r>
            <w:r w:rsidR="005B3BD5">
              <w:rPr>
                <w:rFonts w:eastAsia="Times New Roman" w:cs="Times New Roman"/>
                <w:sz w:val="18"/>
                <w:szCs w:val="18"/>
                <w14:ligatures w14:val="none"/>
              </w:rPr>
              <w:t xml:space="preserve"> notifi</w:t>
            </w:r>
            <w:r w:rsidR="00BF2FD7">
              <w:rPr>
                <w:rFonts w:eastAsia="Times New Roman" w:cs="Times New Roman"/>
                <w:sz w:val="18"/>
                <w:szCs w:val="18"/>
                <w14:ligatures w14:val="none"/>
              </w:rPr>
              <w:t>cation</w:t>
            </w:r>
            <w:r w:rsidR="005B3BD5">
              <w:rPr>
                <w:rFonts w:eastAsia="Times New Roman" w:cs="Times New Roman"/>
                <w:sz w:val="18"/>
                <w:szCs w:val="18"/>
                <w14:ligatures w14:val="none"/>
              </w:rPr>
              <w:t>.</w:t>
            </w:r>
          </w:p>
          <w:p w14:paraId="7D39A4A9" w14:textId="17C3AF40" w:rsidR="00545D67" w:rsidRDefault="00827801" w:rsidP="00545D67">
            <w:pPr>
              <w:pStyle w:val="ListParagraph"/>
              <w:numPr>
                <w:ilvl w:val="0"/>
                <w:numId w:val="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Pr>
                <w:rFonts w:eastAsia="Times New Roman" w:cs="Times New Roman"/>
                <w:sz w:val="18"/>
                <w:szCs w:val="18"/>
                <w14:ligatures w14:val="none"/>
              </w:rPr>
              <w:t xml:space="preserve">The State expects to have </w:t>
            </w:r>
            <w:r w:rsidR="00CC4210">
              <w:rPr>
                <w:rFonts w:eastAsia="Times New Roman" w:cs="Times New Roman"/>
                <w:sz w:val="18"/>
                <w:szCs w:val="18"/>
                <w14:ligatures w14:val="none"/>
              </w:rPr>
              <w:t>prior notice before a Key Personnel change.</w:t>
            </w:r>
          </w:p>
          <w:p w14:paraId="46486D60" w14:textId="77777777" w:rsidR="00545D67" w:rsidRDefault="00447650" w:rsidP="00545D67">
            <w:pPr>
              <w:pStyle w:val="ListParagraph"/>
              <w:numPr>
                <w:ilvl w:val="0"/>
                <w:numId w:val="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47650">
              <w:rPr>
                <w:rFonts w:eastAsia="Times New Roman" w:cs="Times New Roman"/>
                <w:sz w:val="18"/>
                <w:szCs w:val="18"/>
                <w14:ligatures w14:val="none"/>
              </w:rPr>
              <w:t xml:space="preserve">An Unauthorized Removal does </w:t>
            </w:r>
            <w:r w:rsidRPr="00447650">
              <w:rPr>
                <w:rFonts w:eastAsia="Times New Roman" w:cs="Times New Roman"/>
                <w:b/>
                <w:bCs/>
                <w:sz w:val="18"/>
                <w:szCs w:val="18"/>
                <w14:ligatures w14:val="none"/>
              </w:rPr>
              <w:t>not</w:t>
            </w:r>
            <w:r w:rsidRPr="00447650">
              <w:rPr>
                <w:rFonts w:eastAsia="Times New Roman" w:cs="Times New Roman"/>
                <w:sz w:val="18"/>
                <w:szCs w:val="18"/>
                <w14:ligatures w14:val="none"/>
              </w:rPr>
              <w:t xml:space="preserve"> include replacing Key Personnel for reasons beyond the reasonable control of Contractor, including illness, disability, leave of absence, personal emergency circumstances, resignation, or for cause termination of the Key Personnel’s employment.</w:t>
            </w:r>
          </w:p>
          <w:p w14:paraId="464CC896" w14:textId="03EBDD82" w:rsidR="00447650" w:rsidRDefault="00A079A8" w:rsidP="00545D67">
            <w:pPr>
              <w:pStyle w:val="ListParagraph"/>
              <w:numPr>
                <w:ilvl w:val="0"/>
                <w:numId w:val="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Pr>
                <w:rFonts w:eastAsia="Times New Roman" w:cs="Times New Roman"/>
                <w:sz w:val="18"/>
                <w:szCs w:val="18"/>
                <w14:ligatures w14:val="none"/>
              </w:rPr>
              <w:t>These are contractual requirements.</w:t>
            </w:r>
          </w:p>
          <w:p w14:paraId="48B73BD3" w14:textId="1C9E28C1" w:rsidR="00EE29AC" w:rsidRPr="00545D67" w:rsidRDefault="00425335" w:rsidP="00545D67">
            <w:pPr>
              <w:pStyle w:val="ListParagraph"/>
              <w:numPr>
                <w:ilvl w:val="0"/>
                <w:numId w:val="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Pr>
                <w:rFonts w:eastAsia="Times New Roman" w:cs="Times New Roman"/>
                <w:sz w:val="18"/>
                <w:szCs w:val="18"/>
                <w14:ligatures w14:val="none"/>
              </w:rPr>
              <w:lastRenderedPageBreak/>
              <w:t xml:space="preserve">The State does not assume any </w:t>
            </w:r>
            <w:r w:rsidR="002D648D">
              <w:rPr>
                <w:rFonts w:eastAsia="Times New Roman" w:cs="Times New Roman"/>
                <w:sz w:val="18"/>
                <w:szCs w:val="18"/>
                <w14:ligatures w14:val="none"/>
              </w:rPr>
              <w:t xml:space="preserve">associated risk or provide indemnification related to </w:t>
            </w:r>
            <w:r w:rsidR="00D252ED">
              <w:rPr>
                <w:rFonts w:eastAsia="Times New Roman" w:cs="Times New Roman"/>
                <w:sz w:val="18"/>
                <w:szCs w:val="18"/>
                <w14:ligatures w14:val="none"/>
              </w:rPr>
              <w:t>Key Personnel.</w:t>
            </w:r>
          </w:p>
        </w:tc>
      </w:tr>
      <w:tr w:rsidR="00A32396" w:rsidRPr="0064103B" w14:paraId="6ED1BF16" w14:textId="3550F29D" w:rsidTr="0D9D5A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3" w:type="dxa"/>
          </w:tcPr>
          <w:p w14:paraId="20133DC8" w14:textId="73E0B60D" w:rsidR="00904AEA" w:rsidRPr="0064103B" w:rsidRDefault="00904AEA">
            <w:pPr>
              <w:rPr>
                <w:b w:val="0"/>
                <w:color w:val="000000" w:themeColor="text1"/>
                <w:sz w:val="18"/>
                <w:szCs w:val="18"/>
              </w:rPr>
            </w:pPr>
            <w:r>
              <w:rPr>
                <w:b w:val="0"/>
                <w:color w:val="000000" w:themeColor="text1"/>
                <w:sz w:val="18"/>
                <w:szCs w:val="18"/>
              </w:rPr>
              <w:lastRenderedPageBreak/>
              <w:t>5</w:t>
            </w:r>
          </w:p>
        </w:tc>
        <w:tc>
          <w:tcPr>
            <w:tcW w:w="3495" w:type="dxa"/>
          </w:tcPr>
          <w:p w14:paraId="46F7D3ED" w14:textId="77777777" w:rsidR="00904AEA" w:rsidRDefault="00904AEA" w:rsidP="0097066E">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Section 2. Staffing</w:t>
            </w:r>
          </w:p>
          <w:p w14:paraId="1D35F654" w14:textId="056C22F8" w:rsidR="00904AEA" w:rsidRPr="0064103B" w:rsidRDefault="00904AEA" w:rsidP="0097066E">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2.6. Key Personnel 2.6.5</w:t>
            </w:r>
          </w:p>
        </w:tc>
        <w:tc>
          <w:tcPr>
            <w:tcW w:w="1598" w:type="dxa"/>
          </w:tcPr>
          <w:p w14:paraId="3A37B1BC" w14:textId="00C53112"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Page 11 of 18</w:t>
            </w:r>
          </w:p>
        </w:tc>
        <w:tc>
          <w:tcPr>
            <w:tcW w:w="3894" w:type="dxa"/>
          </w:tcPr>
          <w:p w14:paraId="5B7C6836" w14:textId="77777777" w:rsidR="00904AEA" w:rsidRPr="00476A49" w:rsidRDefault="00904AEA" w:rsidP="0097066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Section 2.6.5 states: “The Contractor must identify the Key Personnel, indicate where they will be physically located, describe the functions they will perform, and provide current chronological résumés.”</w:t>
            </w:r>
          </w:p>
          <w:p w14:paraId="4EB6BAF4" w14:textId="592E1FCD" w:rsidR="00904AEA" w:rsidRPr="00476A49" w:rsidRDefault="00904AEA" w:rsidP="0097066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For clarification, </w:t>
            </w:r>
            <w:r w:rsidRPr="00476A49">
              <w:rPr>
                <w:sz w:val="18"/>
                <w:szCs w:val="18"/>
              </w:rPr>
              <w:t xml:space="preserve">which roles does the State consider Key Personnel under this contract? Does this include only leadership roles (e.g., </w:t>
            </w:r>
            <w:r w:rsidRPr="00476A49">
              <w:rPr>
                <w:sz w:val="18"/>
                <w:szCs w:val="18"/>
              </w:rPr>
              <w:lastRenderedPageBreak/>
              <w:t>Program Manager), or all staff funded under the contract?</w:t>
            </w:r>
            <w:r w:rsidRPr="00476A49">
              <w:rPr>
                <w:rFonts w:eastAsia="Times New Roman" w:cs="Times New Roman"/>
                <w:sz w:val="18"/>
                <w:szCs w:val="18"/>
                <w14:ligatures w14:val="none"/>
              </w:rPr>
              <w:t>?</w:t>
            </w:r>
          </w:p>
          <w:p w14:paraId="05AA3C23" w14:textId="77777777"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3894" w:type="dxa"/>
          </w:tcPr>
          <w:p w14:paraId="7D783B6F" w14:textId="21F250FE" w:rsidR="00904AEA" w:rsidRPr="00476A49" w:rsidRDefault="00221690" w:rsidP="0097066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Pr>
                <w:rFonts w:eastAsia="Times New Roman" w:cs="Times New Roman"/>
                <w:sz w:val="18"/>
                <w:szCs w:val="18"/>
                <w14:ligatures w14:val="none"/>
              </w:rPr>
              <w:lastRenderedPageBreak/>
              <w:t>Key Personnel of this Contract will include</w:t>
            </w:r>
            <w:r w:rsidR="00FF3070">
              <w:rPr>
                <w:rFonts w:eastAsia="Times New Roman" w:cs="Times New Roman"/>
                <w:sz w:val="18"/>
                <w:szCs w:val="18"/>
                <w14:ligatures w14:val="none"/>
              </w:rPr>
              <w:t xml:space="preserve"> a Project Director, Financial Officer, and Authorizing Official.</w:t>
            </w:r>
            <w:r>
              <w:rPr>
                <w:rFonts w:eastAsia="Times New Roman" w:cs="Times New Roman"/>
                <w:sz w:val="18"/>
                <w:szCs w:val="18"/>
                <w14:ligatures w14:val="none"/>
              </w:rPr>
              <w:t xml:space="preserve"> </w:t>
            </w:r>
          </w:p>
        </w:tc>
      </w:tr>
      <w:tr w:rsidR="00A32396" w:rsidRPr="0064103B" w14:paraId="440E0A3A" w14:textId="0515B84E" w:rsidTr="0D9D5ADA">
        <w:trPr>
          <w:trHeight w:val="290"/>
        </w:trPr>
        <w:tc>
          <w:tcPr>
            <w:cnfStyle w:val="001000000000" w:firstRow="0" w:lastRow="0" w:firstColumn="1" w:lastColumn="0" w:oddVBand="0" w:evenVBand="0" w:oddHBand="0" w:evenHBand="0" w:firstRowFirstColumn="0" w:firstRowLastColumn="0" w:lastRowFirstColumn="0" w:lastRowLastColumn="0"/>
            <w:tcW w:w="1093" w:type="dxa"/>
          </w:tcPr>
          <w:p w14:paraId="4F36EB29" w14:textId="0EB50085" w:rsidR="00904AEA" w:rsidRPr="0064103B" w:rsidRDefault="00904AEA">
            <w:pPr>
              <w:rPr>
                <w:b w:val="0"/>
                <w:color w:val="000000" w:themeColor="text1"/>
                <w:sz w:val="18"/>
                <w:szCs w:val="18"/>
              </w:rPr>
            </w:pPr>
            <w:r>
              <w:rPr>
                <w:b w:val="0"/>
                <w:color w:val="000000" w:themeColor="text1"/>
                <w:sz w:val="18"/>
                <w:szCs w:val="18"/>
              </w:rPr>
              <w:t>6</w:t>
            </w:r>
          </w:p>
        </w:tc>
        <w:tc>
          <w:tcPr>
            <w:tcW w:w="3495" w:type="dxa"/>
          </w:tcPr>
          <w:p w14:paraId="06C52B07" w14:textId="77777777" w:rsidR="00904AEA" w:rsidRDefault="00904AEA" w:rsidP="002970F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Section 2. Staffing</w:t>
            </w:r>
          </w:p>
          <w:p w14:paraId="08E86754" w14:textId="3485F790" w:rsidR="00904AEA" w:rsidRPr="0064103B" w:rsidRDefault="00904AEA" w:rsidP="002970F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2.8. Security 2.8.1-2.8.1.4.</w:t>
            </w:r>
          </w:p>
        </w:tc>
        <w:tc>
          <w:tcPr>
            <w:tcW w:w="1598" w:type="dxa"/>
          </w:tcPr>
          <w:p w14:paraId="56D0B66A" w14:textId="741AB334"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Page 13 of 18</w:t>
            </w:r>
          </w:p>
        </w:tc>
        <w:tc>
          <w:tcPr>
            <w:tcW w:w="3894" w:type="dxa"/>
          </w:tcPr>
          <w:p w14:paraId="6B7261E4" w14:textId="77777777" w:rsidR="00904AEA" w:rsidRPr="00476A49" w:rsidRDefault="00904AEA" w:rsidP="007D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8"/>
                <w:szCs w:val="18"/>
                <w14:ligatures w14:val="none"/>
              </w:rPr>
            </w:pPr>
            <w:r w:rsidRPr="00476A49">
              <w:rPr>
                <w:rFonts w:ascii="Aptos" w:eastAsia="Times New Roman" w:hAnsi="Aptos" w:cs="Times New Roman"/>
                <w:sz w:val="18"/>
                <w:szCs w:val="18"/>
                <w14:ligatures w14:val="none"/>
              </w:rPr>
              <w:t>Section 2.8.1 requires the Contractor to describe security procedures for staff entering State facilities, including background checks.</w:t>
            </w:r>
          </w:p>
          <w:p w14:paraId="1E22554D" w14:textId="6E6422AA" w:rsidR="00904AEA" w:rsidRPr="00476A49" w:rsidRDefault="00904AEA" w:rsidP="007D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8"/>
                <w:szCs w:val="18"/>
                <w14:ligatures w14:val="none"/>
              </w:rPr>
            </w:pPr>
            <w:r w:rsidRPr="00476A49">
              <w:rPr>
                <w:rFonts w:ascii="Aptos" w:eastAsia="Times New Roman" w:hAnsi="Aptos" w:cs="Times New Roman"/>
                <w:sz w:val="18"/>
                <w:szCs w:val="18"/>
                <w14:ligatures w14:val="none"/>
              </w:rPr>
              <w:t xml:space="preserve">The MTA Education Center Inc. conducts motor vehicle record checks for all CDL-holding staff. All other employees have been employed with the MTA for 2 to 12 years, including three former MSP CVED officers, and have all visited a state facility at least once during their employment. </w:t>
            </w:r>
          </w:p>
          <w:p w14:paraId="262F2CFD" w14:textId="2E110E71" w:rsidR="00904AEA" w:rsidRPr="00476A49" w:rsidRDefault="00904AEA" w:rsidP="007D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8"/>
                <w:szCs w:val="18"/>
                <w14:ligatures w14:val="none"/>
              </w:rPr>
            </w:pPr>
            <w:r w:rsidRPr="00476A49">
              <w:rPr>
                <w:rFonts w:ascii="Aptos" w:eastAsia="Times New Roman" w:hAnsi="Aptos" w:cs="Times New Roman"/>
                <w:sz w:val="18"/>
                <w:szCs w:val="18"/>
                <w14:ligatures w14:val="none"/>
              </w:rPr>
              <w:t xml:space="preserve">Given that all non-CDL staff are long-term employees with demonstrated experience and familiarity with State facilities, can the State confirm that no additional background checks beyond motor vehicle record checks are required for personnel accessing State facilities? If needed, MTA Education Center Inc., can issues name badges prior to visiting a </w:t>
            </w:r>
            <w:proofErr w:type="gramStart"/>
            <w:r w:rsidRPr="00476A49">
              <w:rPr>
                <w:rFonts w:ascii="Aptos" w:eastAsia="Times New Roman" w:hAnsi="Aptos" w:cs="Times New Roman"/>
                <w:sz w:val="18"/>
                <w:szCs w:val="18"/>
                <w14:ligatures w14:val="none"/>
              </w:rPr>
              <w:t>State</w:t>
            </w:r>
            <w:proofErr w:type="gramEnd"/>
            <w:r w:rsidRPr="00476A49">
              <w:rPr>
                <w:rFonts w:ascii="Aptos" w:eastAsia="Times New Roman" w:hAnsi="Aptos" w:cs="Times New Roman"/>
                <w:sz w:val="18"/>
                <w:szCs w:val="18"/>
                <w14:ligatures w14:val="none"/>
              </w:rPr>
              <w:t xml:space="preserve"> facility to meet the requirement.</w:t>
            </w:r>
          </w:p>
          <w:p w14:paraId="1FF2E37E" w14:textId="77777777" w:rsidR="00904AEA" w:rsidRPr="00476A49" w:rsidRDefault="00904AEA" w:rsidP="0023307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3894" w:type="dxa"/>
          </w:tcPr>
          <w:p w14:paraId="2D4C4B9F" w14:textId="4E1049B6" w:rsidR="00904AEA" w:rsidRPr="00476A49" w:rsidRDefault="001221BD" w:rsidP="007D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18"/>
                <w:szCs w:val="18"/>
                <w14:ligatures w14:val="none"/>
              </w:rPr>
            </w:pPr>
            <w:r>
              <w:rPr>
                <w:rFonts w:ascii="Aptos" w:eastAsia="Times New Roman" w:hAnsi="Aptos" w:cs="Times New Roman"/>
                <w:sz w:val="18"/>
                <w:szCs w:val="18"/>
                <w14:ligatures w14:val="none"/>
              </w:rPr>
              <w:t xml:space="preserve">The </w:t>
            </w:r>
            <w:r w:rsidR="00C66640">
              <w:rPr>
                <w:rFonts w:ascii="Aptos" w:eastAsia="Times New Roman" w:hAnsi="Aptos" w:cs="Times New Roman"/>
                <w:sz w:val="18"/>
                <w:szCs w:val="18"/>
                <w14:ligatures w14:val="none"/>
              </w:rPr>
              <w:t>State</w:t>
            </w:r>
            <w:r w:rsidR="00992063">
              <w:rPr>
                <w:rFonts w:ascii="Aptos" w:eastAsia="Times New Roman" w:hAnsi="Aptos" w:cs="Times New Roman"/>
                <w:sz w:val="18"/>
                <w:szCs w:val="18"/>
                <w14:ligatures w14:val="none"/>
              </w:rPr>
              <w:t xml:space="preserve"> </w:t>
            </w:r>
            <w:r w:rsidR="00205BB9">
              <w:rPr>
                <w:rFonts w:ascii="Aptos" w:eastAsia="Times New Roman" w:hAnsi="Aptos" w:cs="Times New Roman"/>
                <w:sz w:val="18"/>
                <w:szCs w:val="18"/>
                <w14:ligatures w14:val="none"/>
              </w:rPr>
              <w:t>does not require</w:t>
            </w:r>
            <w:r w:rsidR="00992063">
              <w:rPr>
                <w:rFonts w:ascii="Aptos" w:eastAsia="Times New Roman" w:hAnsi="Aptos" w:cs="Times New Roman"/>
                <w:sz w:val="18"/>
                <w:szCs w:val="18"/>
                <w14:ligatures w14:val="none"/>
              </w:rPr>
              <w:t xml:space="preserve"> any additional background checks.</w:t>
            </w:r>
          </w:p>
        </w:tc>
      </w:tr>
      <w:tr w:rsidR="00A32396" w:rsidRPr="0064103B" w14:paraId="7E6EF9F0" w14:textId="4E084026" w:rsidTr="0D9D5A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3" w:type="dxa"/>
          </w:tcPr>
          <w:p w14:paraId="6C163AF6" w14:textId="50E1A217" w:rsidR="00904AEA" w:rsidRPr="0064103B" w:rsidRDefault="00904AEA">
            <w:pPr>
              <w:rPr>
                <w:b w:val="0"/>
                <w:color w:val="000000" w:themeColor="text1"/>
                <w:sz w:val="18"/>
                <w:szCs w:val="18"/>
              </w:rPr>
            </w:pPr>
            <w:r>
              <w:rPr>
                <w:b w:val="0"/>
                <w:color w:val="000000" w:themeColor="text1"/>
                <w:sz w:val="18"/>
                <w:szCs w:val="18"/>
              </w:rPr>
              <w:t>7</w:t>
            </w:r>
          </w:p>
        </w:tc>
        <w:tc>
          <w:tcPr>
            <w:tcW w:w="3495" w:type="dxa"/>
          </w:tcPr>
          <w:p w14:paraId="31EFBE90" w14:textId="41B06ADB" w:rsidR="00904AEA" w:rsidRDefault="00904AEA" w:rsidP="00E81C0B">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Section 3. Project Management</w:t>
            </w:r>
          </w:p>
          <w:p w14:paraId="2BE0D472" w14:textId="24F90288" w:rsidR="00904AEA" w:rsidRPr="0064103B" w:rsidRDefault="00904AEA" w:rsidP="00E81C0B">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3.1. Project Plan</w:t>
            </w:r>
          </w:p>
        </w:tc>
        <w:tc>
          <w:tcPr>
            <w:tcW w:w="1598" w:type="dxa"/>
          </w:tcPr>
          <w:p w14:paraId="6B42F499" w14:textId="740BAEE8"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Page 13 of 18</w:t>
            </w:r>
          </w:p>
        </w:tc>
        <w:tc>
          <w:tcPr>
            <w:tcW w:w="3894" w:type="dxa"/>
          </w:tcPr>
          <w:p w14:paraId="06D87D64" w14:textId="77777777" w:rsidR="00904AEA" w:rsidRPr="00476A49" w:rsidRDefault="00904AEA" w:rsidP="00E81C0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Section 3.1.1 requires the Contractor to submit a final project plan within 30 calendar days of the Effective Date, including the organizational chart and a breakdown of sub-projects, tasks, timeline, and resources.</w:t>
            </w:r>
          </w:p>
          <w:p w14:paraId="3A4F0A6B" w14:textId="77777777" w:rsidR="00904AEA" w:rsidRPr="00476A49" w:rsidRDefault="00904AEA" w:rsidP="00E81C0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Since the proposal already includes staffing, project tasks, and associated resources, could the State clarify the level of detail expected in the final project plan? Specifically:</w:t>
            </w:r>
          </w:p>
          <w:p w14:paraId="054F8158" w14:textId="77777777" w:rsidR="00904AEA" w:rsidRPr="00476A49" w:rsidRDefault="00904AEA" w:rsidP="00E81C0B">
            <w:pPr>
              <w:numPr>
                <w:ilvl w:val="0"/>
                <w:numId w:val="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Should the timeline and task breakdown simply reflect what was </w:t>
            </w:r>
            <w:r w:rsidRPr="00476A49">
              <w:rPr>
                <w:rFonts w:eastAsia="Times New Roman" w:cs="Times New Roman"/>
                <w:sz w:val="18"/>
                <w:szCs w:val="18"/>
                <w14:ligatures w14:val="none"/>
              </w:rPr>
              <w:lastRenderedPageBreak/>
              <w:t xml:space="preserve">included in the proposal, or is additional granularity required? </w:t>
            </w:r>
          </w:p>
          <w:p w14:paraId="5621B19C" w14:textId="77777777" w:rsidR="00904AEA" w:rsidRPr="00476A49" w:rsidRDefault="00904AEA" w:rsidP="00E81C0B">
            <w:pPr>
              <w:numPr>
                <w:ilvl w:val="0"/>
                <w:numId w:val="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 xml:space="preserve">How should “resources” be defined—does this include staff time only, or also equipment, materials, and other operational resources? </w:t>
            </w:r>
          </w:p>
          <w:p w14:paraId="65A780B1" w14:textId="77777777" w:rsidR="00904AEA" w:rsidRPr="00476A49" w:rsidRDefault="00904AEA" w:rsidP="00E81C0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This clarification will help ensure the final project plan aligns with the State’s expectations.</w:t>
            </w:r>
          </w:p>
          <w:p w14:paraId="02AE93F6" w14:textId="77777777"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3894" w:type="dxa"/>
          </w:tcPr>
          <w:p w14:paraId="2F3C7E27" w14:textId="06F0424C" w:rsidR="00904AEA" w:rsidRPr="00D50E3E" w:rsidRDefault="5BAB27AF" w:rsidP="00D50E3E">
            <w:pPr>
              <w:pStyle w:val="ListParagraph"/>
              <w:numPr>
                <w:ilvl w:val="0"/>
                <w:numId w:val="8"/>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50E3E">
              <w:rPr>
                <w:rFonts w:eastAsia="Times New Roman" w:cs="Times New Roman"/>
                <w:sz w:val="18"/>
                <w:szCs w:val="18"/>
              </w:rPr>
              <w:lastRenderedPageBreak/>
              <w:t>The timeline and task breakdown should reflect what was included in the proposal.</w:t>
            </w:r>
          </w:p>
          <w:p w14:paraId="2D91CC3F" w14:textId="3042341C" w:rsidR="00904AEA" w:rsidRPr="00D50E3E" w:rsidRDefault="5BAB27AF" w:rsidP="00D50E3E">
            <w:pPr>
              <w:pStyle w:val="ListParagraph"/>
              <w:numPr>
                <w:ilvl w:val="0"/>
                <w:numId w:val="8"/>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14:ligatures w14:val="none"/>
              </w:rPr>
            </w:pPr>
            <w:r w:rsidRPr="00D50E3E">
              <w:rPr>
                <w:rFonts w:eastAsia="Times New Roman" w:cs="Times New Roman"/>
                <w:sz w:val="18"/>
                <w:szCs w:val="18"/>
              </w:rPr>
              <w:t xml:space="preserve">The project plan resources should include staff time, equipment, materials, and other operational resources. </w:t>
            </w:r>
          </w:p>
        </w:tc>
      </w:tr>
      <w:tr w:rsidR="00A32396" w:rsidRPr="0064103B" w14:paraId="7B463F0C" w14:textId="35E4FCBF" w:rsidTr="0D9D5ADA">
        <w:trPr>
          <w:trHeight w:val="290"/>
        </w:trPr>
        <w:tc>
          <w:tcPr>
            <w:cnfStyle w:val="001000000000" w:firstRow="0" w:lastRow="0" w:firstColumn="1" w:lastColumn="0" w:oddVBand="0" w:evenVBand="0" w:oddHBand="0" w:evenHBand="0" w:firstRowFirstColumn="0" w:firstRowLastColumn="0" w:lastRowFirstColumn="0" w:lastRowLastColumn="0"/>
            <w:tcW w:w="1093" w:type="dxa"/>
          </w:tcPr>
          <w:p w14:paraId="1B5C501B" w14:textId="7B1439E6" w:rsidR="00904AEA" w:rsidRPr="0064103B" w:rsidRDefault="00904AEA">
            <w:pPr>
              <w:rPr>
                <w:b w:val="0"/>
                <w:color w:val="000000" w:themeColor="text1"/>
                <w:sz w:val="18"/>
                <w:szCs w:val="18"/>
              </w:rPr>
            </w:pPr>
            <w:r>
              <w:rPr>
                <w:b w:val="0"/>
                <w:color w:val="000000" w:themeColor="text1"/>
                <w:sz w:val="18"/>
                <w:szCs w:val="18"/>
              </w:rPr>
              <w:t>8</w:t>
            </w:r>
          </w:p>
        </w:tc>
        <w:tc>
          <w:tcPr>
            <w:tcW w:w="3495" w:type="dxa"/>
          </w:tcPr>
          <w:p w14:paraId="6517FF0B" w14:textId="77777777" w:rsidR="00904AEA" w:rsidRDefault="00904AEA" w:rsidP="00E81C0B">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Section 3. Project Management</w:t>
            </w:r>
          </w:p>
          <w:p w14:paraId="3F79DAC0" w14:textId="783B8998"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rFonts w:ascii="Times New Roman" w:eastAsia="Times New Roman" w:hAnsi="Times New Roman" w:cs="Times New Roman"/>
                <w14:ligatures w14:val="none"/>
              </w:rPr>
              <w:t xml:space="preserve">3.1.2. Project Management </w:t>
            </w:r>
            <w:r w:rsidRPr="00E81C0B">
              <w:rPr>
                <w:rFonts w:ascii="Times New Roman" w:eastAsia="Times New Roman" w:hAnsi="Times New Roman" w:cs="Times New Roman"/>
                <w14:ligatures w14:val="none"/>
              </w:rPr>
              <w:t>Section 3.1.2.2</w:t>
            </w:r>
          </w:p>
        </w:tc>
        <w:tc>
          <w:tcPr>
            <w:tcW w:w="1598" w:type="dxa"/>
          </w:tcPr>
          <w:p w14:paraId="40C9C168" w14:textId="5531F9EC" w:rsidR="00904AEA" w:rsidRPr="0064103B" w:rsidRDefault="00904AEA">
            <w:p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Pr>
                <w:b/>
                <w:color w:val="000000" w:themeColor="text1"/>
                <w:sz w:val="18"/>
                <w:szCs w:val="18"/>
              </w:rPr>
              <w:t>Page 14 of 18</w:t>
            </w:r>
          </w:p>
        </w:tc>
        <w:tc>
          <w:tcPr>
            <w:tcW w:w="3894" w:type="dxa"/>
          </w:tcPr>
          <w:p w14:paraId="1C7E3A8B" w14:textId="77777777" w:rsidR="00904AEA" w:rsidRPr="00476A49" w:rsidRDefault="00904AEA" w:rsidP="00E81C0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0476A49">
              <w:rPr>
                <w:rFonts w:eastAsia="Times New Roman" w:cs="Times New Roman"/>
                <w:sz w:val="18"/>
                <w:szCs w:val="18"/>
                <w14:ligatures w14:val="none"/>
              </w:rPr>
              <w:t>Section 3.1.2.2 requires the Contractor to provide a proposed detailed CMV safety training and education annual program plan for the MTSC for approval on specified dates as required by the OHSP.</w:t>
            </w:r>
          </w:p>
          <w:p w14:paraId="170D7B77" w14:textId="570B8E41" w:rsidR="00904AEA" w:rsidRPr="00476A49" w:rsidRDefault="00904AEA" w:rsidP="00E81C0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476A49">
              <w:rPr>
                <w:rFonts w:eastAsia="Times New Roman" w:cs="Times New Roman"/>
                <w:sz w:val="18"/>
                <w:szCs w:val="18"/>
                <w14:ligatures w14:val="none"/>
              </w:rPr>
              <w:t xml:space="preserve">For clarification, </w:t>
            </w:r>
            <w:proofErr w:type="gramStart"/>
            <w:r w:rsidRPr="00476A49">
              <w:rPr>
                <w:rFonts w:eastAsia="Times New Roman" w:cs="Times New Roman"/>
                <w:sz w:val="18"/>
                <w:szCs w:val="18"/>
                <w14:ligatures w14:val="none"/>
              </w:rPr>
              <w:t>is this plan</w:t>
            </w:r>
            <w:proofErr w:type="gramEnd"/>
            <w:r w:rsidRPr="00476A49">
              <w:rPr>
                <w:rFonts w:eastAsia="Times New Roman" w:cs="Times New Roman"/>
                <w:sz w:val="18"/>
                <w:szCs w:val="18"/>
                <w14:ligatures w14:val="none"/>
              </w:rPr>
              <w:t xml:space="preserve"> submitted annually through the MGX system, including the contractor’s proposed program for the upcoming fiscal year along with the associated annual contractual budget, which is then approved sequentially by the MTSC, OHSP, and DTMB.</w:t>
            </w:r>
            <w:r w:rsidRPr="00476A49">
              <w:rPr>
                <w:rFonts w:ascii="Times New Roman" w:eastAsia="Times New Roman" w:hAnsi="Times New Roman" w:cs="Times New Roman"/>
                <w:sz w:val="18"/>
                <w:szCs w:val="18"/>
                <w14:ligatures w14:val="none"/>
              </w:rPr>
              <w:t xml:space="preserve"> </w:t>
            </w:r>
          </w:p>
        </w:tc>
        <w:tc>
          <w:tcPr>
            <w:tcW w:w="3894" w:type="dxa"/>
          </w:tcPr>
          <w:p w14:paraId="2CC0F412" w14:textId="7AA83F98" w:rsidR="00904AEA" w:rsidRPr="00476A49" w:rsidRDefault="12BCDAD3" w:rsidP="00E81C0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14:ligatures w14:val="none"/>
              </w:rPr>
            </w:pPr>
            <w:r w:rsidRPr="07D57B57">
              <w:rPr>
                <w:rFonts w:eastAsia="Times New Roman" w:cs="Times New Roman"/>
                <w:sz w:val="18"/>
                <w:szCs w:val="18"/>
              </w:rPr>
              <w:t xml:space="preserve">The plan is to be submitted annually through the MGX system for the upcoming fiscal year, with annual contractual budget. The plan is </w:t>
            </w:r>
            <w:r w:rsidR="48EE9C70" w:rsidRPr="07D57B57">
              <w:rPr>
                <w:rFonts w:eastAsia="Times New Roman" w:cs="Times New Roman"/>
                <w:sz w:val="18"/>
                <w:szCs w:val="18"/>
              </w:rPr>
              <w:t>reviewed and approved sequentially by the MTSC, OHSP, and DTMB.</w:t>
            </w:r>
          </w:p>
        </w:tc>
      </w:tr>
      <w:tr w:rsidR="00A32396" w:rsidRPr="0064103B" w14:paraId="442646A5" w14:textId="1C9310D0" w:rsidTr="0D9D5A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3" w:type="dxa"/>
          </w:tcPr>
          <w:p w14:paraId="17721068" w14:textId="51FE1BD3" w:rsidR="00904AEA" w:rsidRPr="0064103B" w:rsidRDefault="00904AEA">
            <w:pPr>
              <w:rPr>
                <w:b w:val="0"/>
                <w:color w:val="000000" w:themeColor="text1"/>
                <w:sz w:val="18"/>
                <w:szCs w:val="18"/>
              </w:rPr>
            </w:pPr>
            <w:r>
              <w:rPr>
                <w:b w:val="0"/>
                <w:color w:val="000000" w:themeColor="text1"/>
                <w:sz w:val="18"/>
                <w:szCs w:val="18"/>
              </w:rPr>
              <w:t>9</w:t>
            </w:r>
          </w:p>
        </w:tc>
        <w:tc>
          <w:tcPr>
            <w:tcW w:w="3495" w:type="dxa"/>
          </w:tcPr>
          <w:p w14:paraId="7B2A8ADE" w14:textId="40699513" w:rsidR="00904AEA"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1.1.3.2 Financial Support</w:t>
            </w:r>
          </w:p>
          <w:p w14:paraId="243D7380" w14:textId="00CE088C" w:rsidR="00904AEA"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3.4 Reporting</w:t>
            </w:r>
          </w:p>
          <w:p w14:paraId="4A01512A" w14:textId="77777777" w:rsidR="00904AEA"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6. Invoice and Payments</w:t>
            </w:r>
          </w:p>
          <w:p w14:paraId="0DEC1810" w14:textId="7174BFFC"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8. Service Level Agreement Table</w:t>
            </w:r>
          </w:p>
        </w:tc>
        <w:tc>
          <w:tcPr>
            <w:tcW w:w="1598" w:type="dxa"/>
          </w:tcPr>
          <w:p w14:paraId="3563CCB8" w14:textId="21B6589C" w:rsidR="00904AEA" w:rsidRPr="0064103B" w:rsidRDefault="00904AEA">
            <w:pP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Pr>
                <w:b/>
                <w:color w:val="000000" w:themeColor="text1"/>
                <w:sz w:val="18"/>
                <w:szCs w:val="18"/>
              </w:rPr>
              <w:t>Page 4 &amp; 15 &amp; 17 &amp; 18 of 18</w:t>
            </w:r>
          </w:p>
        </w:tc>
        <w:tc>
          <w:tcPr>
            <w:tcW w:w="3894" w:type="dxa"/>
          </w:tcPr>
          <w:p w14:paraId="5033C611" w14:textId="77777777"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476A49">
              <w:rPr>
                <w:color w:val="000000" w:themeColor="text1"/>
                <w:sz w:val="18"/>
                <w:szCs w:val="18"/>
              </w:rPr>
              <w:t xml:space="preserve">Reporting due dates for progress reports, and FSR’s do not align. </w:t>
            </w:r>
          </w:p>
          <w:p w14:paraId="7BA9A9E9" w14:textId="77777777"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50B17D71" w14:textId="19916ECF" w:rsidR="00904AEA" w:rsidRPr="00476A49" w:rsidRDefault="00904AEA"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476A49">
              <w:rPr>
                <w:color w:val="000000" w:themeColor="text1"/>
                <w:sz w:val="18"/>
                <w:szCs w:val="18"/>
              </w:rPr>
              <w:t>Can you clarify actual due dates.</w:t>
            </w:r>
          </w:p>
        </w:tc>
        <w:tc>
          <w:tcPr>
            <w:tcW w:w="3894" w:type="dxa"/>
          </w:tcPr>
          <w:p w14:paraId="50F8C0CC" w14:textId="726CAAF6" w:rsidR="00904AEA" w:rsidRPr="00476A49" w:rsidRDefault="00E502E4" w:rsidP="0023307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F</w:t>
            </w:r>
            <w:r w:rsidR="3A755389" w:rsidRPr="380F7BD0">
              <w:rPr>
                <w:color w:val="000000" w:themeColor="text1"/>
                <w:sz w:val="18"/>
                <w:szCs w:val="18"/>
              </w:rPr>
              <w:t xml:space="preserve">SR’s are </w:t>
            </w:r>
            <w:r w:rsidR="3A755389" w:rsidRPr="0C8FC53C">
              <w:rPr>
                <w:color w:val="000000" w:themeColor="text1"/>
                <w:sz w:val="18"/>
                <w:szCs w:val="18"/>
              </w:rPr>
              <w:t xml:space="preserve">due on </w:t>
            </w:r>
            <w:r w:rsidR="3A755389" w:rsidRPr="32E23DB6">
              <w:rPr>
                <w:color w:val="000000" w:themeColor="text1"/>
                <w:sz w:val="18"/>
                <w:szCs w:val="18"/>
              </w:rPr>
              <w:t xml:space="preserve">the </w:t>
            </w:r>
            <w:r w:rsidR="3A755389" w:rsidRPr="171FA713">
              <w:rPr>
                <w:color w:val="000000" w:themeColor="text1"/>
                <w:sz w:val="18"/>
                <w:szCs w:val="18"/>
              </w:rPr>
              <w:t>20</w:t>
            </w:r>
            <w:r w:rsidR="3A755389" w:rsidRPr="171FA713">
              <w:rPr>
                <w:color w:val="000000" w:themeColor="text1"/>
                <w:sz w:val="18"/>
                <w:szCs w:val="18"/>
                <w:vertAlign w:val="superscript"/>
              </w:rPr>
              <w:t>th</w:t>
            </w:r>
            <w:r w:rsidR="3A755389" w:rsidRPr="171FA713">
              <w:rPr>
                <w:color w:val="000000" w:themeColor="text1"/>
                <w:sz w:val="18"/>
                <w:szCs w:val="18"/>
              </w:rPr>
              <w:t xml:space="preserve"> of </w:t>
            </w:r>
            <w:r w:rsidR="3A755389" w:rsidRPr="4FE918FA">
              <w:rPr>
                <w:color w:val="000000" w:themeColor="text1"/>
                <w:sz w:val="18"/>
                <w:szCs w:val="18"/>
              </w:rPr>
              <w:t>each month.</w:t>
            </w:r>
            <w:r w:rsidR="3A755389" w:rsidRPr="455E5F11">
              <w:rPr>
                <w:color w:val="000000" w:themeColor="text1"/>
                <w:sz w:val="18"/>
                <w:szCs w:val="18"/>
              </w:rPr>
              <w:t xml:space="preserve"> </w:t>
            </w:r>
            <w:r w:rsidR="3A755389" w:rsidRPr="722F3CD1">
              <w:rPr>
                <w:color w:val="000000" w:themeColor="text1"/>
                <w:sz w:val="18"/>
                <w:szCs w:val="18"/>
              </w:rPr>
              <w:t xml:space="preserve">Progress reports are due </w:t>
            </w:r>
            <w:r w:rsidR="3A755389" w:rsidRPr="3B8294C4">
              <w:rPr>
                <w:color w:val="000000" w:themeColor="text1"/>
                <w:sz w:val="18"/>
                <w:szCs w:val="18"/>
              </w:rPr>
              <w:t xml:space="preserve">on the </w:t>
            </w:r>
            <w:r w:rsidR="3A755389" w:rsidRPr="7A412CFA">
              <w:rPr>
                <w:color w:val="000000" w:themeColor="text1"/>
                <w:sz w:val="18"/>
                <w:szCs w:val="18"/>
              </w:rPr>
              <w:t>20</w:t>
            </w:r>
            <w:r w:rsidR="3A755389" w:rsidRPr="7A412CFA">
              <w:rPr>
                <w:color w:val="000000" w:themeColor="text1"/>
                <w:sz w:val="18"/>
                <w:szCs w:val="18"/>
                <w:vertAlign w:val="superscript"/>
              </w:rPr>
              <w:t>th</w:t>
            </w:r>
            <w:r w:rsidR="3A755389" w:rsidRPr="7A412CFA">
              <w:rPr>
                <w:color w:val="000000" w:themeColor="text1"/>
                <w:sz w:val="18"/>
                <w:szCs w:val="18"/>
              </w:rPr>
              <w:t xml:space="preserve"> of</w:t>
            </w:r>
            <w:r w:rsidR="3A755389" w:rsidRPr="6EC4F1FB">
              <w:rPr>
                <w:color w:val="000000" w:themeColor="text1"/>
                <w:sz w:val="18"/>
                <w:szCs w:val="18"/>
              </w:rPr>
              <w:t xml:space="preserve"> each month. </w:t>
            </w:r>
          </w:p>
        </w:tc>
      </w:tr>
    </w:tbl>
    <w:p w14:paraId="52D32806" w14:textId="77777777" w:rsidR="003C417F" w:rsidRPr="003C417F" w:rsidRDefault="003C417F" w:rsidP="004F35C0"/>
    <w:sectPr w:rsidR="003C417F" w:rsidRPr="003C417F" w:rsidSect="004F35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CD"/>
    <w:multiLevelType w:val="multilevel"/>
    <w:tmpl w:val="F4C8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3665B"/>
    <w:multiLevelType w:val="hybridMultilevel"/>
    <w:tmpl w:val="4D74C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02B61"/>
    <w:multiLevelType w:val="multilevel"/>
    <w:tmpl w:val="A2C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9457B"/>
    <w:multiLevelType w:val="multilevel"/>
    <w:tmpl w:val="A23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66502"/>
    <w:multiLevelType w:val="multilevel"/>
    <w:tmpl w:val="83BC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263AB"/>
    <w:multiLevelType w:val="hybridMultilevel"/>
    <w:tmpl w:val="DEDA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A72D8"/>
    <w:multiLevelType w:val="hybridMultilevel"/>
    <w:tmpl w:val="A29853A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 w15:restartNumberingAfterBreak="0">
    <w:nsid w:val="7E3A5ABF"/>
    <w:multiLevelType w:val="hybridMultilevel"/>
    <w:tmpl w:val="136A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914485">
    <w:abstractNumId w:val="6"/>
  </w:num>
  <w:num w:numId="2" w16cid:durableId="1980917186">
    <w:abstractNumId w:val="4"/>
  </w:num>
  <w:num w:numId="3" w16cid:durableId="2068798255">
    <w:abstractNumId w:val="0"/>
  </w:num>
  <w:num w:numId="4" w16cid:durableId="1923491681">
    <w:abstractNumId w:val="3"/>
  </w:num>
  <w:num w:numId="5" w16cid:durableId="1520585833">
    <w:abstractNumId w:val="2"/>
  </w:num>
  <w:num w:numId="6" w16cid:durableId="1729496355">
    <w:abstractNumId w:val="5"/>
  </w:num>
  <w:num w:numId="7" w16cid:durableId="440345718">
    <w:abstractNumId w:val="8"/>
  </w:num>
  <w:num w:numId="8" w16cid:durableId="40978542">
    <w:abstractNumId w:val="7"/>
  </w:num>
  <w:num w:numId="9" w16cid:durableId="100547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7F"/>
    <w:rsid w:val="00030612"/>
    <w:rsid w:val="000622C8"/>
    <w:rsid w:val="00062632"/>
    <w:rsid w:val="0006677D"/>
    <w:rsid w:val="0007595D"/>
    <w:rsid w:val="00080ADA"/>
    <w:rsid w:val="0009249D"/>
    <w:rsid w:val="000A0E4F"/>
    <w:rsid w:val="000B1AE8"/>
    <w:rsid w:val="000E24F4"/>
    <w:rsid w:val="000F5B36"/>
    <w:rsid w:val="0010013C"/>
    <w:rsid w:val="001221BD"/>
    <w:rsid w:val="00142A10"/>
    <w:rsid w:val="00172229"/>
    <w:rsid w:val="00193ABB"/>
    <w:rsid w:val="001B398D"/>
    <w:rsid w:val="00205BB9"/>
    <w:rsid w:val="00221690"/>
    <w:rsid w:val="00233072"/>
    <w:rsid w:val="002377A5"/>
    <w:rsid w:val="002717B5"/>
    <w:rsid w:val="002754B3"/>
    <w:rsid w:val="00286F54"/>
    <w:rsid w:val="00295184"/>
    <w:rsid w:val="00296175"/>
    <w:rsid w:val="002970FA"/>
    <w:rsid w:val="002A338F"/>
    <w:rsid w:val="002D648D"/>
    <w:rsid w:val="002F127F"/>
    <w:rsid w:val="003214EF"/>
    <w:rsid w:val="00340B23"/>
    <w:rsid w:val="0034496A"/>
    <w:rsid w:val="00364AE9"/>
    <w:rsid w:val="003655A8"/>
    <w:rsid w:val="00372033"/>
    <w:rsid w:val="003762D9"/>
    <w:rsid w:val="00380B20"/>
    <w:rsid w:val="00381B7A"/>
    <w:rsid w:val="003954A7"/>
    <w:rsid w:val="003C1510"/>
    <w:rsid w:val="003C417F"/>
    <w:rsid w:val="004040BD"/>
    <w:rsid w:val="00412440"/>
    <w:rsid w:val="0042087F"/>
    <w:rsid w:val="00425335"/>
    <w:rsid w:val="004311D7"/>
    <w:rsid w:val="00444C29"/>
    <w:rsid w:val="00447650"/>
    <w:rsid w:val="00476A49"/>
    <w:rsid w:val="004B0607"/>
    <w:rsid w:val="004B20F5"/>
    <w:rsid w:val="004F35C0"/>
    <w:rsid w:val="00527268"/>
    <w:rsid w:val="00532E27"/>
    <w:rsid w:val="00536F9C"/>
    <w:rsid w:val="00545D67"/>
    <w:rsid w:val="0055682A"/>
    <w:rsid w:val="00580DDD"/>
    <w:rsid w:val="00583190"/>
    <w:rsid w:val="005B3BD5"/>
    <w:rsid w:val="005C7207"/>
    <w:rsid w:val="005D7DFA"/>
    <w:rsid w:val="005E3BBB"/>
    <w:rsid w:val="00606331"/>
    <w:rsid w:val="006175BC"/>
    <w:rsid w:val="0064103B"/>
    <w:rsid w:val="0065269A"/>
    <w:rsid w:val="006A3D0B"/>
    <w:rsid w:val="006B7B11"/>
    <w:rsid w:val="006E27D3"/>
    <w:rsid w:val="006F0B1A"/>
    <w:rsid w:val="0074666D"/>
    <w:rsid w:val="007573D7"/>
    <w:rsid w:val="00760DA3"/>
    <w:rsid w:val="0077291A"/>
    <w:rsid w:val="0077443D"/>
    <w:rsid w:val="007A6B84"/>
    <w:rsid w:val="007D1D1C"/>
    <w:rsid w:val="007E10DD"/>
    <w:rsid w:val="007F1224"/>
    <w:rsid w:val="00827801"/>
    <w:rsid w:val="008A7041"/>
    <w:rsid w:val="008B2D3D"/>
    <w:rsid w:val="008C5F01"/>
    <w:rsid w:val="008D736C"/>
    <w:rsid w:val="008E0C47"/>
    <w:rsid w:val="00904AEA"/>
    <w:rsid w:val="00935F6E"/>
    <w:rsid w:val="0097066E"/>
    <w:rsid w:val="00992063"/>
    <w:rsid w:val="009A5096"/>
    <w:rsid w:val="009F5B43"/>
    <w:rsid w:val="00A079A8"/>
    <w:rsid w:val="00A13659"/>
    <w:rsid w:val="00A32396"/>
    <w:rsid w:val="00A36B3C"/>
    <w:rsid w:val="00A417E6"/>
    <w:rsid w:val="00A65655"/>
    <w:rsid w:val="00A669D1"/>
    <w:rsid w:val="00A7541E"/>
    <w:rsid w:val="00A804E2"/>
    <w:rsid w:val="00A8091C"/>
    <w:rsid w:val="00A97799"/>
    <w:rsid w:val="00AB51FB"/>
    <w:rsid w:val="00AB6789"/>
    <w:rsid w:val="00AD558C"/>
    <w:rsid w:val="00B0087A"/>
    <w:rsid w:val="00B12295"/>
    <w:rsid w:val="00B342D7"/>
    <w:rsid w:val="00B43058"/>
    <w:rsid w:val="00B6302A"/>
    <w:rsid w:val="00B674B2"/>
    <w:rsid w:val="00B96CDE"/>
    <w:rsid w:val="00BA1B34"/>
    <w:rsid w:val="00BC488D"/>
    <w:rsid w:val="00BF2FD7"/>
    <w:rsid w:val="00C15F1A"/>
    <w:rsid w:val="00C1759D"/>
    <w:rsid w:val="00C2522B"/>
    <w:rsid w:val="00C30A68"/>
    <w:rsid w:val="00C66640"/>
    <w:rsid w:val="00C92395"/>
    <w:rsid w:val="00CA1C05"/>
    <w:rsid w:val="00CA6E41"/>
    <w:rsid w:val="00CB70C4"/>
    <w:rsid w:val="00CC4210"/>
    <w:rsid w:val="00CE6F52"/>
    <w:rsid w:val="00CF0410"/>
    <w:rsid w:val="00D252ED"/>
    <w:rsid w:val="00D323FE"/>
    <w:rsid w:val="00D3432D"/>
    <w:rsid w:val="00D44B8B"/>
    <w:rsid w:val="00D5050A"/>
    <w:rsid w:val="00D50E3E"/>
    <w:rsid w:val="00D61A96"/>
    <w:rsid w:val="00D90CCA"/>
    <w:rsid w:val="00DB398C"/>
    <w:rsid w:val="00DC7F05"/>
    <w:rsid w:val="00E43DDC"/>
    <w:rsid w:val="00E502E4"/>
    <w:rsid w:val="00E76D6D"/>
    <w:rsid w:val="00E808DF"/>
    <w:rsid w:val="00E81C0B"/>
    <w:rsid w:val="00E92FCC"/>
    <w:rsid w:val="00EA7568"/>
    <w:rsid w:val="00EB0FA7"/>
    <w:rsid w:val="00EE088C"/>
    <w:rsid w:val="00EE29AC"/>
    <w:rsid w:val="00F13174"/>
    <w:rsid w:val="00F17D06"/>
    <w:rsid w:val="00F54509"/>
    <w:rsid w:val="00F672A3"/>
    <w:rsid w:val="00F747AF"/>
    <w:rsid w:val="00F860D1"/>
    <w:rsid w:val="00F9290C"/>
    <w:rsid w:val="00FC178E"/>
    <w:rsid w:val="00FF10A1"/>
    <w:rsid w:val="00FF1599"/>
    <w:rsid w:val="00FF3070"/>
    <w:rsid w:val="03A2E910"/>
    <w:rsid w:val="07D57B57"/>
    <w:rsid w:val="0863FFAF"/>
    <w:rsid w:val="094E9CA5"/>
    <w:rsid w:val="0C545F40"/>
    <w:rsid w:val="0C8FC53C"/>
    <w:rsid w:val="0D5E8083"/>
    <w:rsid w:val="0D9D5ADA"/>
    <w:rsid w:val="12BCDAD3"/>
    <w:rsid w:val="15576571"/>
    <w:rsid w:val="171FA713"/>
    <w:rsid w:val="17855071"/>
    <w:rsid w:val="1D4F6769"/>
    <w:rsid w:val="210C85F1"/>
    <w:rsid w:val="230AF3B5"/>
    <w:rsid w:val="2C0148EE"/>
    <w:rsid w:val="2F941A71"/>
    <w:rsid w:val="326F7D50"/>
    <w:rsid w:val="32E23DB6"/>
    <w:rsid w:val="35808173"/>
    <w:rsid w:val="380F7BD0"/>
    <w:rsid w:val="3A755389"/>
    <w:rsid w:val="3B8294C4"/>
    <w:rsid w:val="4069BDC9"/>
    <w:rsid w:val="44C7F942"/>
    <w:rsid w:val="455E5F11"/>
    <w:rsid w:val="48EE9C70"/>
    <w:rsid w:val="4FE918FA"/>
    <w:rsid w:val="520C68F5"/>
    <w:rsid w:val="56F5CB7F"/>
    <w:rsid w:val="59A8B609"/>
    <w:rsid w:val="5BAB27AF"/>
    <w:rsid w:val="639C199E"/>
    <w:rsid w:val="693ED420"/>
    <w:rsid w:val="6C61637F"/>
    <w:rsid w:val="6EC4F1FB"/>
    <w:rsid w:val="722F3CD1"/>
    <w:rsid w:val="7333C3F2"/>
    <w:rsid w:val="7417A78C"/>
    <w:rsid w:val="74E39155"/>
    <w:rsid w:val="7A412C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3595"/>
  <w15:chartTrackingRefBased/>
  <w15:docId w15:val="{D6848579-CFC6-41A1-AF8E-9859FD4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chedule A - Level 1"/>
    <w:basedOn w:val="Normal"/>
    <w:next w:val="Normal"/>
    <w:link w:val="Heading2Char"/>
    <w:uiPriority w:val="9"/>
    <w:unhideWhenUsed/>
    <w:qFormat/>
    <w:rsid w:val="003C4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chedule A - Level 2"/>
    <w:basedOn w:val="Normal"/>
    <w:next w:val="Normal"/>
    <w:link w:val="Heading3Char"/>
    <w:uiPriority w:val="9"/>
    <w:unhideWhenUsed/>
    <w:qFormat/>
    <w:rsid w:val="003C4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7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chedule A - Level 1 Char"/>
    <w:basedOn w:val="DefaultParagraphFont"/>
    <w:link w:val="Heading2"/>
    <w:uiPriority w:val="9"/>
    <w:semiHidden/>
    <w:rsid w:val="003C417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chedule A - Level 2 Char"/>
    <w:basedOn w:val="DefaultParagraphFont"/>
    <w:link w:val="Heading3"/>
    <w:uiPriority w:val="9"/>
    <w:semiHidden/>
    <w:rsid w:val="003C4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7F"/>
    <w:rPr>
      <w:rFonts w:eastAsiaTheme="majorEastAsia" w:cstheme="majorBidi"/>
      <w:color w:val="272727" w:themeColor="text1" w:themeTint="D8"/>
    </w:rPr>
  </w:style>
  <w:style w:type="paragraph" w:styleId="Title">
    <w:name w:val="Title"/>
    <w:basedOn w:val="Normal"/>
    <w:next w:val="Normal"/>
    <w:link w:val="TitleChar"/>
    <w:uiPriority w:val="10"/>
    <w:qFormat/>
    <w:rsid w:val="003C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7F"/>
    <w:pPr>
      <w:spacing w:before="160"/>
      <w:jc w:val="center"/>
    </w:pPr>
    <w:rPr>
      <w:i/>
      <w:iCs/>
      <w:color w:val="404040" w:themeColor="text1" w:themeTint="BF"/>
    </w:rPr>
  </w:style>
  <w:style w:type="character" w:customStyle="1" w:styleId="QuoteChar">
    <w:name w:val="Quote Char"/>
    <w:basedOn w:val="DefaultParagraphFont"/>
    <w:link w:val="Quote"/>
    <w:uiPriority w:val="29"/>
    <w:rsid w:val="003C417F"/>
    <w:rPr>
      <w:i/>
      <w:iCs/>
      <w:color w:val="404040" w:themeColor="text1" w:themeTint="BF"/>
    </w:rPr>
  </w:style>
  <w:style w:type="paragraph" w:styleId="ListParagraph">
    <w:name w:val="List Paragraph"/>
    <w:basedOn w:val="Normal"/>
    <w:link w:val="ListParagraphChar"/>
    <w:uiPriority w:val="1"/>
    <w:qFormat/>
    <w:rsid w:val="003C417F"/>
    <w:pPr>
      <w:ind w:left="720"/>
      <w:contextualSpacing/>
    </w:pPr>
  </w:style>
  <w:style w:type="character" w:styleId="IntenseEmphasis">
    <w:name w:val="Intense Emphasis"/>
    <w:basedOn w:val="DefaultParagraphFont"/>
    <w:uiPriority w:val="21"/>
    <w:qFormat/>
    <w:rsid w:val="003C417F"/>
    <w:rPr>
      <w:i/>
      <w:iCs/>
      <w:color w:val="0F4761" w:themeColor="accent1" w:themeShade="BF"/>
    </w:rPr>
  </w:style>
  <w:style w:type="paragraph" w:styleId="IntenseQuote">
    <w:name w:val="Intense Quote"/>
    <w:basedOn w:val="Normal"/>
    <w:next w:val="Normal"/>
    <w:link w:val="IntenseQuoteChar"/>
    <w:uiPriority w:val="30"/>
    <w:qFormat/>
    <w:rsid w:val="003C4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7F"/>
    <w:rPr>
      <w:i/>
      <w:iCs/>
      <w:color w:val="0F4761" w:themeColor="accent1" w:themeShade="BF"/>
    </w:rPr>
  </w:style>
  <w:style w:type="character" w:styleId="IntenseReference">
    <w:name w:val="Intense Reference"/>
    <w:basedOn w:val="DefaultParagraphFont"/>
    <w:uiPriority w:val="32"/>
    <w:qFormat/>
    <w:rsid w:val="003C417F"/>
    <w:rPr>
      <w:b/>
      <w:bCs/>
      <w:smallCaps/>
      <w:color w:val="0F4761" w:themeColor="accent1" w:themeShade="BF"/>
      <w:spacing w:val="5"/>
    </w:rPr>
  </w:style>
  <w:style w:type="character" w:styleId="Strong">
    <w:name w:val="Strong"/>
    <w:basedOn w:val="DefaultParagraphFont"/>
    <w:uiPriority w:val="22"/>
    <w:qFormat/>
    <w:rsid w:val="003C417F"/>
    <w:rPr>
      <w:b/>
      <w:bCs/>
    </w:rPr>
  </w:style>
  <w:style w:type="table" w:styleId="ListTable3">
    <w:name w:val="List Table 3"/>
    <w:basedOn w:val="TableNormal"/>
    <w:uiPriority w:val="48"/>
    <w:rsid w:val="003C417F"/>
    <w:pPr>
      <w:spacing w:after="0" w:line="240" w:lineRule="auto"/>
    </w:pPr>
    <w:rPr>
      <w:kern w:val="0"/>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qFormat/>
    <w:rsid w:val="003C417F"/>
    <w:pPr>
      <w:spacing w:before="120" w:after="120" w:line="240" w:lineRule="auto"/>
    </w:pPr>
    <w:rPr>
      <w:rFonts w:cstheme="minorHAnsi"/>
      <w:sz w:val="22"/>
      <w:szCs w:val="22"/>
    </w:rPr>
  </w:style>
  <w:style w:type="paragraph" w:styleId="NormalWeb">
    <w:name w:val="Normal (Web)"/>
    <w:basedOn w:val="Normal"/>
    <w:uiPriority w:val="99"/>
    <w:semiHidden/>
    <w:unhideWhenUsed/>
    <w:rsid w:val="0064103B"/>
    <w:pPr>
      <w:spacing w:before="100" w:beforeAutospacing="1" w:after="100" w:afterAutospacing="1" w:line="240" w:lineRule="auto"/>
    </w:pPr>
    <w:rPr>
      <w:rFonts w:ascii="Times New Roman" w:eastAsia="Times New Roman" w:hAnsi="Times New Roman" w:cs="Times New Roman"/>
      <w:kern w:val="0"/>
    </w:rPr>
  </w:style>
  <w:style w:type="character" w:customStyle="1" w:styleId="ListParagraphChar">
    <w:name w:val="List Paragraph Char"/>
    <w:basedOn w:val="DefaultParagraphFont"/>
    <w:link w:val="ListParagraph"/>
    <w:uiPriority w:val="1"/>
    <w:rsid w:val="0064103B"/>
  </w:style>
  <w:style w:type="paragraph" w:customStyle="1" w:styleId="TableHeader">
    <w:name w:val="Table Header"/>
    <w:basedOn w:val="Normal"/>
    <w:qFormat/>
    <w:rsid w:val="00CA1C05"/>
    <w:pPr>
      <w:spacing w:after="120" w:line="240" w:lineRule="auto"/>
    </w:pPr>
    <w:rPr>
      <w:b/>
      <w:bCs/>
      <w:color w:val="FFFFFF" w:themeColor="background1"/>
      <w:kern w:val="0"/>
      <w:sz w:val="22"/>
      <w:szCs w:val="22"/>
      <w14:ligatures w14:val="none"/>
    </w:rPr>
  </w:style>
  <w:style w:type="table" w:styleId="GridTable4">
    <w:name w:val="Grid Table 4"/>
    <w:basedOn w:val="TableNormal"/>
    <w:uiPriority w:val="49"/>
    <w:rsid w:val="00CA1C0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Body">
    <w:name w:val="Table Body"/>
    <w:basedOn w:val="Normal"/>
    <w:qFormat/>
    <w:rsid w:val="00CA1C05"/>
    <w:pPr>
      <w:spacing w:after="120" w:line="240" w:lineRule="auto"/>
    </w:pPr>
    <w:rPr>
      <w:rFonts w:ascii="Aptos" w:eastAsia="Times" w:hAnsi="Aptos" w:cs="Arial"/>
      <w:color w:val="000000" w:themeColor="text1"/>
      <w:sz w:val="22"/>
      <w:szCs w:val="22"/>
    </w:rPr>
  </w:style>
  <w:style w:type="character" w:styleId="CommentReference">
    <w:name w:val="annotation reference"/>
    <w:basedOn w:val="DefaultParagraphFont"/>
    <w:uiPriority w:val="99"/>
    <w:semiHidden/>
    <w:unhideWhenUsed/>
    <w:rsid w:val="008E0C47"/>
    <w:rPr>
      <w:sz w:val="16"/>
      <w:szCs w:val="16"/>
    </w:rPr>
  </w:style>
  <w:style w:type="paragraph" w:styleId="CommentText">
    <w:name w:val="annotation text"/>
    <w:basedOn w:val="Normal"/>
    <w:link w:val="CommentTextChar"/>
    <w:uiPriority w:val="99"/>
    <w:unhideWhenUsed/>
    <w:rsid w:val="008E0C47"/>
    <w:pPr>
      <w:spacing w:line="240" w:lineRule="auto"/>
    </w:pPr>
    <w:rPr>
      <w:sz w:val="20"/>
      <w:szCs w:val="20"/>
    </w:rPr>
  </w:style>
  <w:style w:type="character" w:customStyle="1" w:styleId="CommentTextChar">
    <w:name w:val="Comment Text Char"/>
    <w:basedOn w:val="DefaultParagraphFont"/>
    <w:link w:val="CommentText"/>
    <w:uiPriority w:val="99"/>
    <w:rsid w:val="008E0C47"/>
    <w:rPr>
      <w:sz w:val="20"/>
      <w:szCs w:val="20"/>
    </w:rPr>
  </w:style>
  <w:style w:type="paragraph" w:styleId="CommentSubject">
    <w:name w:val="annotation subject"/>
    <w:basedOn w:val="CommentText"/>
    <w:next w:val="CommentText"/>
    <w:link w:val="CommentSubjectChar"/>
    <w:uiPriority w:val="99"/>
    <w:semiHidden/>
    <w:unhideWhenUsed/>
    <w:rsid w:val="008E0C47"/>
    <w:rPr>
      <w:b/>
      <w:bCs/>
    </w:rPr>
  </w:style>
  <w:style w:type="character" w:customStyle="1" w:styleId="CommentSubjectChar">
    <w:name w:val="Comment Subject Char"/>
    <w:basedOn w:val="CommentTextChar"/>
    <w:link w:val="CommentSubject"/>
    <w:uiPriority w:val="99"/>
    <w:semiHidden/>
    <w:rsid w:val="008E0C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E90DA-E248-4BB3-A374-0791429238A7}">
  <ds:schemaRefs>
    <ds:schemaRef ds:uri="http://schemas.microsoft.com/sharepoint/v3/contenttype/forms"/>
  </ds:schemaRefs>
</ds:datastoreItem>
</file>

<file path=customXml/itemProps2.xml><?xml version="1.0" encoding="utf-8"?>
<ds:datastoreItem xmlns:ds="http://schemas.openxmlformats.org/officeDocument/2006/customXml" ds:itemID="{B08A605C-3EB0-4B0E-A3EB-A9AA73169FF1}">
  <ds:schemaRefs>
    <ds:schemaRef ds:uri="64d51b16-8985-4cb3-b70e-98745a11dccb"/>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AE62D5-906A-45A9-9387-22C34CC0A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Zemla</dc:creator>
  <cp:keywords/>
  <dc:description/>
  <cp:lastModifiedBy>London, Kyle (DTMB)</cp:lastModifiedBy>
  <cp:revision>2</cp:revision>
  <dcterms:created xsi:type="dcterms:W3CDTF">2026-04-17T15:25:00Z</dcterms:created>
  <dcterms:modified xsi:type="dcterms:W3CDTF">2026-04-17T15:25:00Z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2026-04-14T15:46:46Z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70c0ea37-daa5-49a9-b66d-50ca3cdfb70e</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y fmtid="{D5CDD505-2E9C-101B-9397-08002B2CF9AE}" pid="10" name="ContentTypeId">
    <vt:lpwstr>0x0101005E9A9F6D99CDCB4A933E8275835BDF69</vt:lpwstr>
  </property>
</Properties>
</file>